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BB0F" w14:textId="73694F91" w:rsidR="00932AD4" w:rsidRDefault="00973299" w:rsidP="00932AD4">
      <w:pPr>
        <w:spacing w:after="0" w:line="240" w:lineRule="auto"/>
        <w:ind w:left="720"/>
        <w:rPr>
          <w:rFonts w:eastAsia="Times New Roman"/>
          <w:color w:val="000000"/>
          <w:sz w:val="22"/>
          <w:szCs w:val="22"/>
        </w:rPr>
      </w:pPr>
      <w:bookmarkStart w:id="0" w:name="_Hlk191905651"/>
      <w:bookmarkEnd w:id="0"/>
      <w:r>
        <w:rPr>
          <w:rFonts w:ascii="Calibri" w:eastAsia="Times New Roman" w:hAnsi="Calibri" w:cs="Calibri"/>
          <w:b/>
          <w:bCs/>
          <w:kern w:val="0"/>
          <w14:ligatures w14:val="none"/>
        </w:rPr>
        <w:t>Sear</w:t>
      </w:r>
      <w:r w:rsidR="008C719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ch for Excellence in </w:t>
      </w:r>
      <w:r w:rsidR="00932AD4">
        <w:rPr>
          <w:rFonts w:eastAsia="Times New Roman"/>
          <w:b/>
          <w:bCs/>
          <w:color w:val="000000"/>
          <w:sz w:val="22"/>
          <w:szCs w:val="22"/>
        </w:rPr>
        <w:t>Environmental Quality, Forestry</w:t>
      </w:r>
      <w:r w:rsidR="00351313">
        <w:rPr>
          <w:rFonts w:eastAsia="Times New Roman"/>
          <w:b/>
          <w:bCs/>
          <w:color w:val="000000"/>
          <w:sz w:val="22"/>
          <w:szCs w:val="22"/>
        </w:rPr>
        <w:t>,</w:t>
      </w:r>
      <w:r w:rsidR="00932AD4">
        <w:rPr>
          <w:rFonts w:eastAsia="Times New Roman"/>
          <w:b/>
          <w:bCs/>
          <w:color w:val="000000"/>
          <w:sz w:val="22"/>
          <w:szCs w:val="22"/>
        </w:rPr>
        <w:t xml:space="preserve"> and Natural Resources</w:t>
      </w:r>
    </w:p>
    <w:p w14:paraId="3D111AA5" w14:textId="07080F2F" w:rsidR="00973299" w:rsidRDefault="00973299" w:rsidP="009E24B1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777FC22" w14:textId="5BB154DA" w:rsidR="00731F0D" w:rsidRPr="00D25EB4" w:rsidRDefault="00731F0D" w:rsidP="009E24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b/>
          <w:bCs/>
          <w:kern w:val="0"/>
          <w14:ligatures w14:val="none"/>
        </w:rPr>
        <w:t>Situation</w:t>
      </w:r>
      <w:r w:rsidR="005F57B3" w:rsidRPr="00D25EB4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Pr="00D25EB4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201E6E6" w14:textId="77777777" w:rsidR="00B30339" w:rsidRDefault="009E24B1" w:rsidP="00205D8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>Residential landscapes impact natural resources as habitat loss decreases biodiversity, irrigation stresses water resources, inappropriate fertilization reduces water quality, and misapplied pesticides harm non-target organisms. While many Floridians</w:t>
      </w:r>
      <w:r w:rsidR="008B1225" w:rsidRPr="00D25EB4">
        <w:rPr>
          <w:rFonts w:ascii="Calibri" w:eastAsia="Times New Roman" w:hAnsi="Calibri" w:cs="Calibri"/>
          <w:kern w:val="0"/>
          <w14:ligatures w14:val="none"/>
        </w:rPr>
        <w:t xml:space="preserve"> and land developers</w:t>
      </w:r>
      <w:r w:rsidRPr="00D25EB4">
        <w:rPr>
          <w:rFonts w:ascii="Calibri" w:eastAsia="Times New Roman" w:hAnsi="Calibri" w:cs="Calibri"/>
          <w:kern w:val="0"/>
          <w14:ligatures w14:val="none"/>
        </w:rPr>
        <w:t xml:space="preserve"> are aware of these issues, landscape aesthetics remain prioritized over mitigating their effects. </w:t>
      </w:r>
    </w:p>
    <w:p w14:paraId="0C57CA0D" w14:textId="77777777" w:rsidR="00B30339" w:rsidRDefault="00B30339" w:rsidP="00205D8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BD18D38" w14:textId="11713A0C" w:rsidR="00205D8C" w:rsidRPr="00D25EB4" w:rsidRDefault="00205D8C" w:rsidP="00205D8C">
      <w:pPr>
        <w:spacing w:after="0" w:line="240" w:lineRule="auto"/>
        <w:rPr>
          <w:rFonts w:ascii="Calibri" w:hAnsi="Calibri" w:cs="Calibri"/>
        </w:rPr>
      </w:pPr>
      <w:r w:rsidRPr="00D25EB4">
        <w:rPr>
          <w:rFonts w:ascii="Calibri" w:hAnsi="Calibri" w:cs="Calibri"/>
        </w:rPr>
        <w:t xml:space="preserve">In 2021, a developer of a master-planned community of </w:t>
      </w:r>
      <w:r w:rsidR="00B30339">
        <w:rPr>
          <w:rFonts w:ascii="Calibri" w:hAnsi="Calibri" w:cs="Calibri"/>
        </w:rPr>
        <w:t xml:space="preserve">33,000 to </w:t>
      </w:r>
      <w:r w:rsidRPr="00D25EB4">
        <w:rPr>
          <w:rFonts w:ascii="Calibri" w:hAnsi="Calibri" w:cs="Calibri"/>
        </w:rPr>
        <w:t xml:space="preserve">37,000 homes identified a need to reduce water use and protect nearby bodies of water. With water use permits limiting the amount of water that could be used in the community, the developer contacted </w:t>
      </w:r>
      <w:r w:rsidR="00A8193D" w:rsidRPr="00D25EB4">
        <w:rPr>
          <w:rFonts w:ascii="Calibri" w:hAnsi="Calibri" w:cs="Calibri"/>
        </w:rPr>
        <w:t>U</w:t>
      </w:r>
      <w:r w:rsidR="000C4855" w:rsidRPr="00D25EB4">
        <w:rPr>
          <w:rFonts w:ascii="Calibri" w:hAnsi="Calibri" w:cs="Calibri"/>
        </w:rPr>
        <w:t xml:space="preserve">niversity of </w:t>
      </w:r>
      <w:r w:rsidR="00A8193D" w:rsidRPr="00D25EB4">
        <w:rPr>
          <w:rFonts w:ascii="Calibri" w:hAnsi="Calibri" w:cs="Calibri"/>
        </w:rPr>
        <w:t>F</w:t>
      </w:r>
      <w:r w:rsidR="000C4855" w:rsidRPr="00D25EB4">
        <w:rPr>
          <w:rFonts w:ascii="Calibri" w:hAnsi="Calibri" w:cs="Calibri"/>
        </w:rPr>
        <w:t>lorida</w:t>
      </w:r>
      <w:r w:rsidR="00A8193D" w:rsidRPr="00D25EB4">
        <w:rPr>
          <w:rFonts w:ascii="Calibri" w:hAnsi="Calibri" w:cs="Calibri"/>
        </w:rPr>
        <w:t>/I</w:t>
      </w:r>
      <w:r w:rsidR="00C42203" w:rsidRPr="00D25EB4">
        <w:rPr>
          <w:rFonts w:ascii="Calibri" w:hAnsi="Calibri" w:cs="Calibri"/>
        </w:rPr>
        <w:t xml:space="preserve">nstitute of </w:t>
      </w:r>
      <w:r w:rsidR="00A8193D" w:rsidRPr="00D25EB4">
        <w:rPr>
          <w:rFonts w:ascii="Calibri" w:hAnsi="Calibri" w:cs="Calibri"/>
        </w:rPr>
        <w:t>F</w:t>
      </w:r>
      <w:r w:rsidR="00C42203" w:rsidRPr="00D25EB4">
        <w:rPr>
          <w:rFonts w:ascii="Calibri" w:hAnsi="Calibri" w:cs="Calibri"/>
        </w:rPr>
        <w:t xml:space="preserve">ood &amp; </w:t>
      </w:r>
      <w:r w:rsidR="00A8193D" w:rsidRPr="00D25EB4">
        <w:rPr>
          <w:rFonts w:ascii="Calibri" w:hAnsi="Calibri" w:cs="Calibri"/>
        </w:rPr>
        <w:t>A</w:t>
      </w:r>
      <w:r w:rsidR="00C42203" w:rsidRPr="00D25EB4">
        <w:rPr>
          <w:rFonts w:ascii="Calibri" w:hAnsi="Calibri" w:cs="Calibri"/>
        </w:rPr>
        <w:t xml:space="preserve">gricultural </w:t>
      </w:r>
      <w:r w:rsidR="00A8193D" w:rsidRPr="00D25EB4">
        <w:rPr>
          <w:rFonts w:ascii="Calibri" w:hAnsi="Calibri" w:cs="Calibri"/>
        </w:rPr>
        <w:t>S</w:t>
      </w:r>
      <w:r w:rsidR="00C42203" w:rsidRPr="00D25EB4">
        <w:rPr>
          <w:rFonts w:ascii="Calibri" w:hAnsi="Calibri" w:cs="Calibri"/>
        </w:rPr>
        <w:t>ciences (UF/IFAS)</w:t>
      </w:r>
      <w:r w:rsidR="00A8193D" w:rsidRPr="00D25EB4">
        <w:rPr>
          <w:rFonts w:ascii="Calibri" w:hAnsi="Calibri" w:cs="Calibri"/>
        </w:rPr>
        <w:t xml:space="preserve"> Extens</w:t>
      </w:r>
      <w:r w:rsidR="00960C47" w:rsidRPr="00D25EB4">
        <w:rPr>
          <w:rFonts w:ascii="Calibri" w:hAnsi="Calibri" w:cs="Calibri"/>
        </w:rPr>
        <w:t>i</w:t>
      </w:r>
      <w:r w:rsidR="00A8193D" w:rsidRPr="00D25EB4">
        <w:rPr>
          <w:rFonts w:ascii="Calibri" w:hAnsi="Calibri" w:cs="Calibri"/>
        </w:rPr>
        <w:t>on</w:t>
      </w:r>
      <w:r w:rsidRPr="00D25EB4">
        <w:rPr>
          <w:rFonts w:ascii="Calibri" w:hAnsi="Calibri" w:cs="Calibri"/>
        </w:rPr>
        <w:t xml:space="preserve"> for advice. Members of </w:t>
      </w:r>
      <w:r w:rsidR="00936D38" w:rsidRPr="00D25EB4">
        <w:rPr>
          <w:rFonts w:ascii="Calibri" w:hAnsi="Calibri" w:cs="Calibri"/>
        </w:rPr>
        <w:t xml:space="preserve">UF/IFAS </w:t>
      </w:r>
      <w:r w:rsidRPr="00D25EB4">
        <w:rPr>
          <w:rFonts w:ascii="Calibri" w:hAnsi="Calibri" w:cs="Calibri"/>
        </w:rPr>
        <w:t xml:space="preserve">Extension gathered green industry and built environment professionals, including nursery growers, compost suppliers, builders, developers, landscape architects, NGOs, and academics, to </w:t>
      </w:r>
      <w:r w:rsidR="00042B3F" w:rsidRPr="00D25EB4">
        <w:rPr>
          <w:rFonts w:ascii="Calibri" w:hAnsi="Calibri" w:cs="Calibri"/>
        </w:rPr>
        <w:t xml:space="preserve">study and </w:t>
      </w:r>
      <w:r w:rsidRPr="00D25EB4">
        <w:rPr>
          <w:rFonts w:ascii="Calibri" w:hAnsi="Calibri" w:cs="Calibri"/>
        </w:rPr>
        <w:t xml:space="preserve">develop economically feasible strategies that could be implemented in </w:t>
      </w:r>
      <w:r w:rsidR="00B30339">
        <w:rPr>
          <w:rFonts w:ascii="Calibri" w:hAnsi="Calibri" w:cs="Calibri"/>
        </w:rPr>
        <w:t>residential landscapes</w:t>
      </w:r>
      <w:r w:rsidR="002570BD" w:rsidRPr="00D25EB4">
        <w:rPr>
          <w:rFonts w:ascii="Calibri" w:hAnsi="Calibri" w:cs="Calibri"/>
        </w:rPr>
        <w:t xml:space="preserve"> to reduce water use and attract wildlife</w:t>
      </w:r>
      <w:r w:rsidRPr="00D25EB4">
        <w:rPr>
          <w:rFonts w:ascii="Calibri" w:hAnsi="Calibri" w:cs="Calibri"/>
        </w:rPr>
        <w:t xml:space="preserve">. </w:t>
      </w:r>
    </w:p>
    <w:p w14:paraId="5D20A80F" w14:textId="77777777" w:rsidR="00C7385B" w:rsidRPr="00D25EB4" w:rsidRDefault="00C7385B" w:rsidP="00B32279">
      <w:pPr>
        <w:spacing w:after="0" w:line="240" w:lineRule="auto"/>
        <w:rPr>
          <w:rFonts w:ascii="Calibri" w:hAnsi="Calibri" w:cs="Calibri"/>
        </w:rPr>
      </w:pPr>
    </w:p>
    <w:p w14:paraId="26770AB1" w14:textId="63ED8B8F" w:rsidR="00B32279" w:rsidRPr="00D25EB4" w:rsidRDefault="00447887" w:rsidP="00205D8C">
      <w:pPr>
        <w:spacing w:after="0" w:line="240" w:lineRule="auto"/>
        <w:rPr>
          <w:rFonts w:ascii="Calibri" w:hAnsi="Calibri" w:cs="Calibri"/>
        </w:rPr>
      </w:pPr>
      <w:r w:rsidRPr="00D25EB4">
        <w:rPr>
          <w:rFonts w:ascii="Calibri" w:hAnsi="Calibri" w:cs="Calibri"/>
        </w:rPr>
        <w:t>This collaborative</w:t>
      </w:r>
      <w:r w:rsidR="00D61056" w:rsidRPr="00D25EB4">
        <w:rPr>
          <w:rFonts w:ascii="Calibri" w:hAnsi="Calibri" w:cs="Calibri"/>
        </w:rPr>
        <w:t xml:space="preserve"> gro</w:t>
      </w:r>
      <w:r w:rsidR="00A04E21" w:rsidRPr="00D25EB4">
        <w:rPr>
          <w:rFonts w:ascii="Calibri" w:hAnsi="Calibri" w:cs="Calibri"/>
        </w:rPr>
        <w:t>up</w:t>
      </w:r>
      <w:r w:rsidRPr="00D25EB4">
        <w:rPr>
          <w:rFonts w:ascii="Calibri" w:hAnsi="Calibri" w:cs="Calibri"/>
        </w:rPr>
        <w:t xml:space="preserve"> </w:t>
      </w:r>
      <w:r w:rsidR="00FB57B2" w:rsidRPr="00D25EB4">
        <w:rPr>
          <w:rFonts w:ascii="Calibri" w:hAnsi="Calibri" w:cs="Calibri"/>
        </w:rPr>
        <w:t xml:space="preserve">conducted </w:t>
      </w:r>
      <w:r w:rsidRPr="00D25EB4">
        <w:rPr>
          <w:rFonts w:ascii="Calibri" w:hAnsi="Calibri" w:cs="Calibri"/>
        </w:rPr>
        <w:t xml:space="preserve">a </w:t>
      </w:r>
      <w:r w:rsidR="00700F1E" w:rsidRPr="00D25EB4">
        <w:rPr>
          <w:rFonts w:ascii="Calibri" w:hAnsi="Calibri" w:cs="Calibri"/>
        </w:rPr>
        <w:t>large-scale</w:t>
      </w:r>
      <w:r w:rsidR="00FB57B2" w:rsidRPr="00D25EB4">
        <w:rPr>
          <w:rFonts w:ascii="Calibri" w:hAnsi="Calibri" w:cs="Calibri"/>
        </w:rPr>
        <w:t xml:space="preserve"> </w:t>
      </w:r>
      <w:r w:rsidR="009D334E" w:rsidRPr="00D25EB4">
        <w:rPr>
          <w:rFonts w:ascii="Calibri" w:hAnsi="Calibri" w:cs="Calibri"/>
        </w:rPr>
        <w:t xml:space="preserve">quantitative </w:t>
      </w:r>
      <w:r w:rsidR="00FB57B2" w:rsidRPr="00D25EB4">
        <w:rPr>
          <w:rFonts w:ascii="Calibri" w:hAnsi="Calibri" w:cs="Calibri"/>
        </w:rPr>
        <w:t xml:space="preserve">research project </w:t>
      </w:r>
      <w:r w:rsidR="0008385B" w:rsidRPr="00D25EB4">
        <w:rPr>
          <w:rFonts w:ascii="Calibri" w:hAnsi="Calibri" w:cs="Calibri"/>
        </w:rPr>
        <w:t>that doubled as</w:t>
      </w:r>
      <w:r w:rsidRPr="00D25EB4">
        <w:rPr>
          <w:rFonts w:ascii="Calibri" w:hAnsi="Calibri" w:cs="Calibri"/>
        </w:rPr>
        <w:t xml:space="preserve"> </w:t>
      </w:r>
      <w:r w:rsidR="0079679F" w:rsidRPr="00D25EB4">
        <w:rPr>
          <w:rFonts w:ascii="Calibri" w:hAnsi="Calibri" w:cs="Calibri"/>
        </w:rPr>
        <w:t xml:space="preserve">a Living Laboratory </w:t>
      </w:r>
      <w:r w:rsidRPr="00D25EB4">
        <w:rPr>
          <w:rFonts w:ascii="Calibri" w:hAnsi="Calibri" w:cs="Calibri"/>
        </w:rPr>
        <w:t xml:space="preserve">demonstration </w:t>
      </w:r>
      <w:r w:rsidR="009D334E" w:rsidRPr="00D25EB4">
        <w:rPr>
          <w:rFonts w:ascii="Calibri" w:hAnsi="Calibri" w:cs="Calibri"/>
        </w:rPr>
        <w:t>garden.</w:t>
      </w:r>
      <w:r w:rsidR="00857C33" w:rsidRPr="00D25EB4">
        <w:rPr>
          <w:rFonts w:ascii="Calibri" w:hAnsi="Calibri" w:cs="Calibri"/>
        </w:rPr>
        <w:t xml:space="preserve"> </w:t>
      </w:r>
      <w:r w:rsidR="009D334E" w:rsidRPr="00D25EB4">
        <w:rPr>
          <w:rFonts w:ascii="Calibri" w:hAnsi="Calibri" w:cs="Calibri"/>
        </w:rPr>
        <w:t>T</w:t>
      </w:r>
      <w:r w:rsidR="0008385B" w:rsidRPr="00D25EB4">
        <w:rPr>
          <w:rFonts w:ascii="Calibri" w:hAnsi="Calibri" w:cs="Calibri"/>
        </w:rPr>
        <w:t xml:space="preserve">he purpose of </w:t>
      </w:r>
      <w:r w:rsidR="00857C33" w:rsidRPr="00D25EB4">
        <w:rPr>
          <w:rFonts w:ascii="Calibri" w:hAnsi="Calibri" w:cs="Calibri"/>
        </w:rPr>
        <w:t xml:space="preserve">the effort was to </w:t>
      </w:r>
      <w:r w:rsidR="00FB57B2" w:rsidRPr="00D25EB4">
        <w:rPr>
          <w:rFonts w:ascii="Calibri" w:hAnsi="Calibri" w:cs="Calibri"/>
        </w:rPr>
        <w:t>evaluat</w:t>
      </w:r>
      <w:r w:rsidR="00857C33" w:rsidRPr="00D25EB4">
        <w:rPr>
          <w:rFonts w:ascii="Calibri" w:hAnsi="Calibri" w:cs="Calibri"/>
        </w:rPr>
        <w:t>e</w:t>
      </w:r>
      <w:r w:rsidR="00440480" w:rsidRPr="00D25EB4">
        <w:rPr>
          <w:rFonts w:ascii="Calibri" w:hAnsi="Calibri" w:cs="Calibri"/>
        </w:rPr>
        <w:t xml:space="preserve"> if</w:t>
      </w:r>
      <w:r w:rsidR="00BA0EB1" w:rsidRPr="00D25EB4">
        <w:rPr>
          <w:rFonts w:ascii="Calibri" w:hAnsi="Calibri" w:cs="Calibri"/>
        </w:rPr>
        <w:t xml:space="preserve"> compost amendments </w:t>
      </w:r>
      <w:r w:rsidR="00774D63" w:rsidRPr="00D25EB4">
        <w:rPr>
          <w:rFonts w:ascii="Calibri" w:hAnsi="Calibri" w:cs="Calibri"/>
        </w:rPr>
        <w:t xml:space="preserve">in urban soils </w:t>
      </w:r>
      <w:r w:rsidR="0071538B" w:rsidRPr="00D25EB4">
        <w:rPr>
          <w:rFonts w:ascii="Calibri" w:hAnsi="Calibri" w:cs="Calibri"/>
        </w:rPr>
        <w:t>could</w:t>
      </w:r>
      <w:r w:rsidR="00BA0EB1" w:rsidRPr="00D25EB4">
        <w:rPr>
          <w:rFonts w:ascii="Calibri" w:hAnsi="Calibri" w:cs="Calibri"/>
        </w:rPr>
        <w:t xml:space="preserve"> reduce irrigation needs</w:t>
      </w:r>
      <w:r w:rsidR="007C76CA" w:rsidRPr="00D25EB4">
        <w:rPr>
          <w:rFonts w:ascii="Calibri" w:hAnsi="Calibri" w:cs="Calibri"/>
        </w:rPr>
        <w:t xml:space="preserve"> while maintaining acceptable aesthetics</w:t>
      </w:r>
      <w:r w:rsidR="00774D63" w:rsidRPr="00D25EB4">
        <w:rPr>
          <w:rFonts w:ascii="Calibri" w:hAnsi="Calibri" w:cs="Calibri"/>
        </w:rPr>
        <w:t xml:space="preserve">. </w:t>
      </w:r>
      <w:r w:rsidR="00031D5E" w:rsidRPr="00D25EB4">
        <w:rPr>
          <w:rFonts w:ascii="Calibri" w:hAnsi="Calibri" w:cs="Calibri"/>
        </w:rPr>
        <w:t>For plant materials, w</w:t>
      </w:r>
      <w:r w:rsidR="00774D63" w:rsidRPr="00D25EB4">
        <w:rPr>
          <w:rFonts w:ascii="Calibri" w:hAnsi="Calibri" w:cs="Calibri"/>
        </w:rPr>
        <w:t xml:space="preserve">e specifically used </w:t>
      </w:r>
      <w:r w:rsidR="000D5B75" w:rsidRPr="00D25EB4">
        <w:rPr>
          <w:rFonts w:ascii="Calibri" w:hAnsi="Calibri" w:cs="Calibri"/>
        </w:rPr>
        <w:t>native plant</w:t>
      </w:r>
      <w:r w:rsidR="00031D5E" w:rsidRPr="00D25EB4">
        <w:rPr>
          <w:rFonts w:ascii="Calibri" w:hAnsi="Calibri" w:cs="Calibri"/>
        </w:rPr>
        <w:t>s</w:t>
      </w:r>
      <w:r w:rsidR="000D5B75" w:rsidRPr="00D25EB4">
        <w:rPr>
          <w:rFonts w:ascii="Calibri" w:hAnsi="Calibri" w:cs="Calibri"/>
        </w:rPr>
        <w:t xml:space="preserve"> </w:t>
      </w:r>
      <w:r w:rsidR="007C76CA" w:rsidRPr="00D25EB4">
        <w:rPr>
          <w:rFonts w:ascii="Calibri" w:hAnsi="Calibri" w:cs="Calibri"/>
        </w:rPr>
        <w:t>for the</w:t>
      </w:r>
      <w:r w:rsidR="00031D5E" w:rsidRPr="00D25EB4">
        <w:rPr>
          <w:rFonts w:ascii="Calibri" w:hAnsi="Calibri" w:cs="Calibri"/>
        </w:rPr>
        <w:t>ir</w:t>
      </w:r>
      <w:r w:rsidR="007C76CA" w:rsidRPr="00D25EB4">
        <w:rPr>
          <w:rFonts w:ascii="Calibri" w:hAnsi="Calibri" w:cs="Calibri"/>
        </w:rPr>
        <w:t xml:space="preserve"> </w:t>
      </w:r>
      <w:r w:rsidR="00031D5E" w:rsidRPr="00D25EB4">
        <w:rPr>
          <w:rFonts w:ascii="Calibri" w:hAnsi="Calibri" w:cs="Calibri"/>
        </w:rPr>
        <w:t xml:space="preserve">adaptability to local climates </w:t>
      </w:r>
      <w:r w:rsidR="00E158EC" w:rsidRPr="00D25EB4">
        <w:rPr>
          <w:rFonts w:ascii="Calibri" w:hAnsi="Calibri" w:cs="Calibri"/>
        </w:rPr>
        <w:t xml:space="preserve">and their </w:t>
      </w:r>
      <w:r w:rsidR="007C76CA" w:rsidRPr="00D25EB4">
        <w:rPr>
          <w:rFonts w:ascii="Calibri" w:hAnsi="Calibri" w:cs="Calibri"/>
        </w:rPr>
        <w:t>ability to support native pollinators</w:t>
      </w:r>
      <w:r w:rsidR="000D690D" w:rsidRPr="00D25EB4">
        <w:rPr>
          <w:rFonts w:ascii="Calibri" w:hAnsi="Calibri" w:cs="Calibri"/>
        </w:rPr>
        <w:t>.</w:t>
      </w:r>
      <w:r w:rsidR="000D1C8A" w:rsidRPr="00D25EB4">
        <w:rPr>
          <w:rFonts w:ascii="Calibri" w:hAnsi="Calibri" w:cs="Calibri"/>
        </w:rPr>
        <w:t xml:space="preserve"> We found that </w:t>
      </w:r>
      <w:r w:rsidR="00A932D2" w:rsidRPr="00D25EB4">
        <w:rPr>
          <w:rFonts w:ascii="Calibri" w:hAnsi="Calibri" w:cs="Calibri"/>
        </w:rPr>
        <w:t>incorporating</w:t>
      </w:r>
      <w:r w:rsidR="000D1C8A" w:rsidRPr="00D25EB4">
        <w:rPr>
          <w:rFonts w:ascii="Calibri" w:hAnsi="Calibri" w:cs="Calibri"/>
        </w:rPr>
        <w:t xml:space="preserve"> compost treatments resulted in greater and more consistent visual quality of native plants compared to using urban-only so</w:t>
      </w:r>
      <w:r w:rsidR="00003473" w:rsidRPr="00D25EB4">
        <w:rPr>
          <w:rFonts w:ascii="Calibri" w:hAnsi="Calibri" w:cs="Calibri"/>
        </w:rPr>
        <w:t>il</w:t>
      </w:r>
      <w:r w:rsidR="00506D63" w:rsidRPr="00D25EB4">
        <w:rPr>
          <w:rFonts w:ascii="Calibri" w:hAnsi="Calibri" w:cs="Calibri"/>
        </w:rPr>
        <w:t xml:space="preserve">. </w:t>
      </w:r>
      <w:r w:rsidR="00D53ADB" w:rsidRPr="00D25EB4">
        <w:rPr>
          <w:rFonts w:ascii="Calibri" w:hAnsi="Calibri" w:cs="Calibri"/>
        </w:rPr>
        <w:t xml:space="preserve">We also observed approximately double the number of flowers and pollinators in compost plots versus urban-only soils. </w:t>
      </w:r>
      <w:r w:rsidR="00506D63" w:rsidRPr="00D25EB4">
        <w:rPr>
          <w:rFonts w:ascii="Calibri" w:hAnsi="Calibri" w:cs="Calibri"/>
        </w:rPr>
        <w:t>A 79%</w:t>
      </w:r>
      <w:r w:rsidR="00F546EC" w:rsidRPr="00D25EB4">
        <w:rPr>
          <w:rFonts w:ascii="Calibri" w:hAnsi="Calibri" w:cs="Calibri"/>
        </w:rPr>
        <w:t xml:space="preserve"> reduction in irrigation use</w:t>
      </w:r>
      <w:r w:rsidR="00506D63" w:rsidRPr="00D25EB4">
        <w:rPr>
          <w:rFonts w:ascii="Calibri" w:hAnsi="Calibri" w:cs="Calibri"/>
        </w:rPr>
        <w:t xml:space="preserve"> was also realized with no detectable impact </w:t>
      </w:r>
      <w:r w:rsidR="005D65D0">
        <w:rPr>
          <w:rFonts w:ascii="Calibri" w:hAnsi="Calibri" w:cs="Calibri"/>
        </w:rPr>
        <w:t>on</w:t>
      </w:r>
      <w:r w:rsidR="00506D63" w:rsidRPr="00D25EB4">
        <w:rPr>
          <w:rFonts w:ascii="Calibri" w:hAnsi="Calibri" w:cs="Calibri"/>
        </w:rPr>
        <w:t xml:space="preserve"> plant quality</w:t>
      </w:r>
      <w:r w:rsidR="000D1C8A" w:rsidRPr="00D25EB4">
        <w:rPr>
          <w:rFonts w:ascii="Calibri" w:hAnsi="Calibri" w:cs="Calibri"/>
        </w:rPr>
        <w:t>.</w:t>
      </w:r>
      <w:r w:rsidR="0050497D" w:rsidRPr="00D25EB4">
        <w:rPr>
          <w:rFonts w:ascii="Calibri" w:hAnsi="Calibri" w:cs="Calibri"/>
        </w:rPr>
        <w:t xml:space="preserve"> </w:t>
      </w:r>
    </w:p>
    <w:p w14:paraId="62581158" w14:textId="77777777" w:rsidR="0037307B" w:rsidRPr="00D25EB4" w:rsidRDefault="0037307B" w:rsidP="00205D8C">
      <w:pPr>
        <w:spacing w:after="0" w:line="240" w:lineRule="auto"/>
        <w:rPr>
          <w:rFonts w:ascii="Calibri" w:hAnsi="Calibri" w:cs="Calibri"/>
        </w:rPr>
      </w:pPr>
    </w:p>
    <w:p w14:paraId="4A5968F2" w14:textId="01073CF9" w:rsidR="00AA1291" w:rsidRPr="00D25EB4" w:rsidRDefault="003443C2" w:rsidP="00205D8C">
      <w:pPr>
        <w:spacing w:after="0" w:line="240" w:lineRule="auto"/>
        <w:rPr>
          <w:rFonts w:ascii="Calibri" w:hAnsi="Calibri" w:cs="Calibri"/>
        </w:rPr>
      </w:pPr>
      <w:r w:rsidRPr="00D25EB4">
        <w:rPr>
          <w:rFonts w:ascii="Calibri" w:hAnsi="Calibri" w:cs="Calibri"/>
        </w:rPr>
        <w:t>In true Extension fashion, we</w:t>
      </w:r>
      <w:r w:rsidR="0037307B" w:rsidRPr="00D25EB4">
        <w:rPr>
          <w:rFonts w:ascii="Calibri" w:hAnsi="Calibri" w:cs="Calibri"/>
        </w:rPr>
        <w:t xml:space="preserve"> disseminate</w:t>
      </w:r>
      <w:r w:rsidRPr="00D25EB4">
        <w:rPr>
          <w:rFonts w:ascii="Calibri" w:hAnsi="Calibri" w:cs="Calibri"/>
        </w:rPr>
        <w:t>d</w:t>
      </w:r>
      <w:r w:rsidR="0037307B" w:rsidRPr="00D25EB4">
        <w:rPr>
          <w:rFonts w:ascii="Calibri" w:hAnsi="Calibri" w:cs="Calibri"/>
        </w:rPr>
        <w:t xml:space="preserve"> these research results to </w:t>
      </w:r>
      <w:r w:rsidR="008F0817" w:rsidRPr="00D25EB4">
        <w:rPr>
          <w:rFonts w:ascii="Calibri" w:hAnsi="Calibri" w:cs="Calibri"/>
        </w:rPr>
        <w:t xml:space="preserve">green industry professionals, municipalities, and </w:t>
      </w:r>
      <w:r w:rsidR="00A9537C" w:rsidRPr="00D25EB4">
        <w:rPr>
          <w:rFonts w:ascii="Calibri" w:hAnsi="Calibri" w:cs="Calibri"/>
        </w:rPr>
        <w:t>built environment professionals</w:t>
      </w:r>
      <w:r w:rsidR="00AA32CF" w:rsidRPr="00D25EB4">
        <w:rPr>
          <w:rFonts w:ascii="Calibri" w:hAnsi="Calibri" w:cs="Calibri"/>
        </w:rPr>
        <w:t xml:space="preserve"> which consist of builders, developers, </w:t>
      </w:r>
      <w:r w:rsidR="00D1004C" w:rsidRPr="00D25EB4">
        <w:rPr>
          <w:rFonts w:ascii="Calibri" w:hAnsi="Calibri" w:cs="Calibri"/>
        </w:rPr>
        <w:t xml:space="preserve">and </w:t>
      </w:r>
      <w:r w:rsidR="00AA32CF" w:rsidRPr="00D25EB4">
        <w:rPr>
          <w:rFonts w:ascii="Calibri" w:hAnsi="Calibri" w:cs="Calibri"/>
        </w:rPr>
        <w:t>landscape architects</w:t>
      </w:r>
      <w:r w:rsidR="008F0817" w:rsidRPr="00D25EB4">
        <w:rPr>
          <w:rFonts w:ascii="Calibri" w:hAnsi="Calibri" w:cs="Calibri"/>
        </w:rPr>
        <w:t xml:space="preserve">. </w:t>
      </w:r>
      <w:r w:rsidR="00C80DED" w:rsidRPr="00D25EB4">
        <w:rPr>
          <w:rFonts w:ascii="Calibri" w:hAnsi="Calibri" w:cs="Calibri"/>
        </w:rPr>
        <w:t>To</w:t>
      </w:r>
      <w:r w:rsidR="008F0817" w:rsidRPr="00D25EB4">
        <w:rPr>
          <w:rFonts w:ascii="Calibri" w:hAnsi="Calibri" w:cs="Calibri"/>
        </w:rPr>
        <w:t xml:space="preserve"> reach these</w:t>
      </w:r>
      <w:r w:rsidR="00F543F9" w:rsidRPr="00D25EB4">
        <w:rPr>
          <w:rFonts w:ascii="Calibri" w:hAnsi="Calibri" w:cs="Calibri"/>
        </w:rPr>
        <w:t xml:space="preserve"> audiences</w:t>
      </w:r>
      <w:r w:rsidR="00A9537C" w:rsidRPr="00D25EB4">
        <w:rPr>
          <w:rFonts w:ascii="Calibri" w:hAnsi="Calibri" w:cs="Calibri"/>
        </w:rPr>
        <w:t xml:space="preserve"> we partnered with the Outside Collaborative to deliver </w:t>
      </w:r>
      <w:r w:rsidR="00AA32CF" w:rsidRPr="00D25EB4">
        <w:rPr>
          <w:rFonts w:ascii="Calibri" w:hAnsi="Calibri" w:cs="Calibri"/>
        </w:rPr>
        <w:t xml:space="preserve">research updates </w:t>
      </w:r>
      <w:r w:rsidR="00C80DED" w:rsidRPr="00D25EB4">
        <w:rPr>
          <w:rFonts w:ascii="Calibri" w:hAnsi="Calibri" w:cs="Calibri"/>
        </w:rPr>
        <w:t xml:space="preserve">and tours of the Living Laboratories </w:t>
      </w:r>
      <w:r w:rsidR="00F444CE" w:rsidRPr="00D25EB4">
        <w:rPr>
          <w:rFonts w:ascii="Calibri" w:hAnsi="Calibri" w:cs="Calibri"/>
        </w:rPr>
        <w:t>at their 2022 and 2023 annual conference.</w:t>
      </w:r>
      <w:r w:rsidR="005E66DE" w:rsidRPr="00D25EB4">
        <w:rPr>
          <w:rFonts w:ascii="Calibri" w:hAnsi="Calibri" w:cs="Calibri"/>
        </w:rPr>
        <w:t xml:space="preserve"> </w:t>
      </w:r>
      <w:r w:rsidR="00A365F5" w:rsidRPr="00D25EB4">
        <w:rPr>
          <w:rFonts w:ascii="Calibri" w:hAnsi="Calibri" w:cs="Calibri"/>
        </w:rPr>
        <w:t xml:space="preserve"> </w:t>
      </w:r>
      <w:r w:rsidR="005E66DE" w:rsidRPr="00D25EB4">
        <w:rPr>
          <w:rFonts w:ascii="Calibri" w:hAnsi="Calibri" w:cs="Calibri"/>
        </w:rPr>
        <w:t xml:space="preserve">The Outside Collaborative is a group of </w:t>
      </w:r>
      <w:r w:rsidR="00D30211" w:rsidRPr="00D25EB4">
        <w:rPr>
          <w:rFonts w:ascii="Calibri" w:hAnsi="Calibri" w:cs="Calibri"/>
        </w:rPr>
        <w:t xml:space="preserve">professionals whose aim is to </w:t>
      </w:r>
      <w:r w:rsidR="005E66DE" w:rsidRPr="00D25EB4">
        <w:rPr>
          <w:rFonts w:ascii="Calibri" w:hAnsi="Calibri" w:cs="Calibri"/>
        </w:rPr>
        <w:t>tackle issues like water conservation, land preservation, and biodiversity through innovative landscaping practices.</w:t>
      </w:r>
      <w:r w:rsidR="00A365F5" w:rsidRPr="00D25EB4">
        <w:rPr>
          <w:rFonts w:ascii="Calibri" w:hAnsi="Calibri" w:cs="Calibri"/>
        </w:rPr>
        <w:t xml:space="preserve"> </w:t>
      </w:r>
      <w:r w:rsidR="007F2A73">
        <w:rPr>
          <w:rFonts w:ascii="Calibri" w:hAnsi="Calibri" w:cs="Calibri"/>
        </w:rPr>
        <w:t xml:space="preserve">We’ve also presented to </w:t>
      </w:r>
      <w:r w:rsidR="009E589B">
        <w:rPr>
          <w:rFonts w:ascii="Calibri" w:hAnsi="Calibri" w:cs="Calibri"/>
        </w:rPr>
        <w:t>decision-makers</w:t>
      </w:r>
      <w:r w:rsidR="007F2A73">
        <w:rPr>
          <w:rFonts w:ascii="Calibri" w:hAnsi="Calibri" w:cs="Calibri"/>
        </w:rPr>
        <w:t xml:space="preserve"> at multiple outlets</w:t>
      </w:r>
      <w:r w:rsidR="006E01CC">
        <w:rPr>
          <w:rFonts w:ascii="Calibri" w:hAnsi="Calibri" w:cs="Calibri"/>
        </w:rPr>
        <w:t>, including the 2024 Florida Association of Counties</w:t>
      </w:r>
      <w:r w:rsidR="00720113">
        <w:rPr>
          <w:rFonts w:ascii="Calibri" w:hAnsi="Calibri" w:cs="Calibri"/>
        </w:rPr>
        <w:t xml:space="preserve"> Innovation &amp; Policy Conference</w:t>
      </w:r>
      <w:r w:rsidR="00E12FF9">
        <w:rPr>
          <w:rFonts w:ascii="Calibri" w:hAnsi="Calibri" w:cs="Calibri"/>
        </w:rPr>
        <w:t xml:space="preserve"> and the</w:t>
      </w:r>
      <w:r w:rsidR="00267CAD">
        <w:rPr>
          <w:rFonts w:ascii="Calibri" w:hAnsi="Calibri" w:cs="Calibri"/>
        </w:rPr>
        <w:t xml:space="preserve"> 2024</w:t>
      </w:r>
      <w:r w:rsidR="00E12FF9">
        <w:rPr>
          <w:rFonts w:ascii="Calibri" w:hAnsi="Calibri" w:cs="Calibri"/>
        </w:rPr>
        <w:t xml:space="preserve"> Florida</w:t>
      </w:r>
      <w:r w:rsidR="009E589B">
        <w:rPr>
          <w:rFonts w:ascii="Calibri" w:hAnsi="Calibri" w:cs="Calibri"/>
        </w:rPr>
        <w:t xml:space="preserve"> </w:t>
      </w:r>
      <w:r w:rsidR="00267CAD">
        <w:rPr>
          <w:rFonts w:ascii="Calibri" w:hAnsi="Calibri" w:cs="Calibri"/>
        </w:rPr>
        <w:t>Local Environmental Resource</w:t>
      </w:r>
      <w:r w:rsidR="00B73A6A">
        <w:rPr>
          <w:rFonts w:ascii="Calibri" w:hAnsi="Calibri" w:cs="Calibri"/>
        </w:rPr>
        <w:t xml:space="preserve"> Agencies.</w:t>
      </w:r>
    </w:p>
    <w:p w14:paraId="336E0C94" w14:textId="4EE25C21" w:rsidR="009E762A" w:rsidRPr="00D25EB4" w:rsidRDefault="009E762A" w:rsidP="00205D8C">
      <w:pPr>
        <w:spacing w:after="0" w:line="240" w:lineRule="auto"/>
        <w:rPr>
          <w:rFonts w:ascii="Calibri" w:hAnsi="Calibri" w:cs="Calibri"/>
        </w:rPr>
      </w:pPr>
    </w:p>
    <w:p w14:paraId="38D61B42" w14:textId="17475626" w:rsidR="009E762A" w:rsidRPr="00D25EB4" w:rsidRDefault="00C43548" w:rsidP="00205D8C">
      <w:pPr>
        <w:spacing w:after="0" w:line="240" w:lineRule="auto"/>
        <w:rPr>
          <w:rFonts w:ascii="Calibri" w:hAnsi="Calibri" w:cs="Calibri"/>
        </w:rPr>
      </w:pPr>
      <w:r w:rsidRPr="00D25EB4">
        <w:rPr>
          <w:rFonts w:ascii="Calibri" w:hAnsi="Calibri" w:cs="Calibri"/>
        </w:rPr>
        <w:t>The remainder of this a</w:t>
      </w:r>
      <w:r w:rsidR="00DF7D05" w:rsidRPr="00D25EB4">
        <w:rPr>
          <w:rFonts w:ascii="Calibri" w:hAnsi="Calibri" w:cs="Calibri"/>
        </w:rPr>
        <w:t>pplication</w:t>
      </w:r>
      <w:r w:rsidRPr="00D25EB4">
        <w:rPr>
          <w:rFonts w:ascii="Calibri" w:hAnsi="Calibri" w:cs="Calibri"/>
        </w:rPr>
        <w:t xml:space="preserve"> will focus on the outreach component</w:t>
      </w:r>
      <w:r w:rsidR="007249A5" w:rsidRPr="00D25EB4">
        <w:rPr>
          <w:rFonts w:ascii="Calibri" w:hAnsi="Calibri" w:cs="Calibri"/>
        </w:rPr>
        <w:t xml:space="preserve"> of this collaborative project</w:t>
      </w:r>
      <w:r w:rsidRPr="00D25EB4">
        <w:rPr>
          <w:rFonts w:ascii="Calibri" w:hAnsi="Calibri" w:cs="Calibri"/>
        </w:rPr>
        <w:t>.</w:t>
      </w:r>
    </w:p>
    <w:p w14:paraId="60F29BBC" w14:textId="77777777" w:rsidR="00D5577B" w:rsidRPr="00D25EB4" w:rsidRDefault="00D5577B" w:rsidP="00205D8C">
      <w:pPr>
        <w:spacing w:after="0" w:line="240" w:lineRule="auto"/>
        <w:rPr>
          <w:rFonts w:ascii="Calibri" w:hAnsi="Calibri" w:cs="Calibri"/>
        </w:rPr>
      </w:pPr>
    </w:p>
    <w:p w14:paraId="70C05F84" w14:textId="4AD440E9" w:rsidR="00D5577B" w:rsidRPr="00D25EB4" w:rsidRDefault="00D5577B" w:rsidP="00D5577B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25EB4">
        <w:rPr>
          <w:rFonts w:ascii="Calibri" w:eastAsia="Times New Roman" w:hAnsi="Calibri" w:cs="Calibri"/>
          <w:b/>
          <w:bCs/>
          <w:kern w:val="0"/>
          <w14:ligatures w14:val="none"/>
        </w:rPr>
        <w:t>Objectives:</w:t>
      </w:r>
    </w:p>
    <w:p w14:paraId="42E19F6E" w14:textId="77777777" w:rsidR="00F65930" w:rsidRDefault="00D5577B" w:rsidP="0031429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65930">
        <w:rPr>
          <w:rFonts w:ascii="Calibri" w:eastAsia="Times New Roman" w:hAnsi="Calibri" w:cs="Calibri"/>
          <w:kern w:val="0"/>
          <w14:ligatures w14:val="none"/>
        </w:rPr>
        <w:t>Educate green industry</w:t>
      </w:r>
      <w:r w:rsidR="00981065" w:rsidRPr="00F65930">
        <w:rPr>
          <w:rFonts w:ascii="Calibri" w:eastAsia="Times New Roman" w:hAnsi="Calibri" w:cs="Calibri"/>
          <w:kern w:val="0"/>
          <w14:ligatures w14:val="none"/>
        </w:rPr>
        <w:t>,</w:t>
      </w:r>
      <w:r w:rsidRPr="00F6593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051388" w:rsidRPr="00F65930">
        <w:rPr>
          <w:rFonts w:ascii="Calibri" w:eastAsia="Times New Roman" w:hAnsi="Calibri" w:cs="Calibri"/>
          <w:kern w:val="0"/>
          <w14:ligatures w14:val="none"/>
        </w:rPr>
        <w:t xml:space="preserve">allied fields, and academics on the </w:t>
      </w:r>
      <w:r w:rsidR="003461B7" w:rsidRPr="00F65930">
        <w:rPr>
          <w:rFonts w:ascii="Calibri" w:eastAsia="Times New Roman" w:hAnsi="Calibri" w:cs="Calibri"/>
          <w:kern w:val="0"/>
          <w14:ligatures w14:val="none"/>
        </w:rPr>
        <w:t>land development process</w:t>
      </w:r>
    </w:p>
    <w:p w14:paraId="08028ABE" w14:textId="77777777" w:rsidR="00F65930" w:rsidRPr="00F65930" w:rsidRDefault="000E3461" w:rsidP="0031429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65930">
        <w:rPr>
          <w:rFonts w:ascii="Calibri" w:eastAsia="Times New Roman" w:hAnsi="Calibri" w:cs="Calibri"/>
          <w:kern w:val="0"/>
          <w14:ligatures w14:val="none"/>
        </w:rPr>
        <w:t xml:space="preserve">Educate </w:t>
      </w:r>
      <w:r w:rsidR="00D5577B" w:rsidRPr="00F65930">
        <w:rPr>
          <w:rFonts w:ascii="Calibri" w:eastAsia="Times New Roman" w:hAnsi="Calibri" w:cs="Calibri"/>
          <w:kern w:val="0"/>
          <w14:ligatures w14:val="none"/>
        </w:rPr>
        <w:t>built-environmen</w:t>
      </w:r>
      <w:r w:rsidR="00DE2527" w:rsidRPr="00F65930">
        <w:rPr>
          <w:rFonts w:ascii="Calibri" w:eastAsia="Times New Roman" w:hAnsi="Calibri" w:cs="Calibri"/>
          <w:kern w:val="0"/>
          <w14:ligatures w14:val="none"/>
        </w:rPr>
        <w:t>t</w:t>
      </w:r>
      <w:r w:rsidR="000F7AC9" w:rsidRPr="00F65930">
        <w:rPr>
          <w:rFonts w:ascii="Calibri" w:eastAsia="Times New Roman" w:hAnsi="Calibri" w:cs="Calibri"/>
          <w:kern w:val="0"/>
          <w14:ligatures w14:val="none"/>
        </w:rPr>
        <w:t xml:space="preserve"> and green industry </w:t>
      </w:r>
      <w:r w:rsidR="00C430A2" w:rsidRPr="00F65930">
        <w:rPr>
          <w:rFonts w:ascii="Calibri" w:eastAsia="Times New Roman" w:hAnsi="Calibri" w:cs="Calibri"/>
          <w:kern w:val="0"/>
          <w14:ligatures w14:val="none"/>
        </w:rPr>
        <w:t xml:space="preserve">professionals on </w:t>
      </w:r>
      <w:r w:rsidR="000F7AC9" w:rsidRPr="00F65930">
        <w:rPr>
          <w:rFonts w:ascii="Calibri" w:hAnsi="Calibri" w:cs="Calibri"/>
        </w:rPr>
        <w:t>sustainable development and landscaping efforts</w:t>
      </w:r>
      <w:r w:rsidR="00C430A2" w:rsidRPr="00F65930">
        <w:rPr>
          <w:rFonts w:ascii="Calibri" w:hAnsi="Calibri" w:cs="Calibri"/>
        </w:rPr>
        <w:t xml:space="preserve"> </w:t>
      </w:r>
    </w:p>
    <w:p w14:paraId="18F6500B" w14:textId="2374BC4E" w:rsidR="00D5577B" w:rsidRPr="00F65930" w:rsidRDefault="006B691C" w:rsidP="00314290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F65930">
        <w:rPr>
          <w:rFonts w:ascii="Calibri" w:eastAsia="Times New Roman" w:hAnsi="Calibri" w:cs="Calibri"/>
          <w:kern w:val="0"/>
          <w14:ligatures w14:val="none"/>
        </w:rPr>
        <w:lastRenderedPageBreak/>
        <w:t>75</w:t>
      </w:r>
      <w:r w:rsidR="00D5577B" w:rsidRPr="00F65930">
        <w:rPr>
          <w:rFonts w:ascii="Calibri" w:eastAsia="Times New Roman" w:hAnsi="Calibri" w:cs="Calibri"/>
          <w:kern w:val="0"/>
          <w14:ligatures w14:val="none"/>
        </w:rPr>
        <w:t>% of surveyed</w:t>
      </w:r>
      <w:r w:rsidR="005E7B29" w:rsidRPr="00F6593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57707" w:rsidRPr="00F65930">
        <w:rPr>
          <w:rFonts w:ascii="Calibri" w:eastAsia="Times New Roman" w:hAnsi="Calibri" w:cs="Calibri"/>
          <w:kern w:val="0"/>
          <w14:ligatures w14:val="none"/>
        </w:rPr>
        <w:t xml:space="preserve">attendees </w:t>
      </w:r>
      <w:r w:rsidR="00857707">
        <w:t xml:space="preserve">of the </w:t>
      </w:r>
      <w:r w:rsidR="00857707" w:rsidRPr="00F65930">
        <w:rPr>
          <w:rFonts w:ascii="Calibri" w:eastAsia="Times New Roman" w:hAnsi="Calibri" w:cs="Calibri"/>
          <w:kern w:val="0"/>
          <w14:ligatures w14:val="none"/>
        </w:rPr>
        <w:t xml:space="preserve">Outside Collaborative Conference </w:t>
      </w:r>
      <w:r w:rsidR="00F65930">
        <w:rPr>
          <w:rFonts w:ascii="Calibri" w:eastAsia="Times New Roman" w:hAnsi="Calibri" w:cs="Calibri"/>
          <w:kern w:val="0"/>
          <w14:ligatures w14:val="none"/>
        </w:rPr>
        <w:t xml:space="preserve">(OCC) </w:t>
      </w:r>
      <w:r w:rsidR="00DE2527" w:rsidRPr="00F65930">
        <w:rPr>
          <w:rFonts w:ascii="Calibri" w:eastAsia="Times New Roman" w:hAnsi="Calibri" w:cs="Calibri"/>
          <w:kern w:val="0"/>
          <w14:ligatures w14:val="none"/>
        </w:rPr>
        <w:t>wil</w:t>
      </w:r>
      <w:r w:rsidR="00426360" w:rsidRPr="00F65930">
        <w:rPr>
          <w:rFonts w:ascii="Calibri" w:eastAsia="Times New Roman" w:hAnsi="Calibri" w:cs="Calibri"/>
          <w:kern w:val="0"/>
          <w14:ligatures w14:val="none"/>
        </w:rPr>
        <w:t>l</w:t>
      </w:r>
      <w:r w:rsidR="00D5577B" w:rsidRPr="00F65930">
        <w:rPr>
          <w:rFonts w:ascii="Calibri" w:eastAsia="Times New Roman" w:hAnsi="Calibri" w:cs="Calibri"/>
          <w:kern w:val="0"/>
          <w14:ligatures w14:val="none"/>
        </w:rPr>
        <w:t xml:space="preserve"> self-report knowledge</w:t>
      </w:r>
      <w:r w:rsidR="00AC2B78" w:rsidRPr="00F65930">
        <w:rPr>
          <w:rFonts w:ascii="Calibri" w:eastAsia="Times New Roman" w:hAnsi="Calibri" w:cs="Calibri"/>
          <w:kern w:val="0"/>
          <w14:ligatures w14:val="none"/>
        </w:rPr>
        <w:t xml:space="preserve"> gain</w:t>
      </w:r>
      <w:r w:rsidRPr="00F65930">
        <w:rPr>
          <w:rFonts w:ascii="Calibri" w:eastAsia="Times New Roman" w:hAnsi="Calibri" w:cs="Calibri"/>
          <w:kern w:val="0"/>
          <w14:ligatures w14:val="none"/>
        </w:rPr>
        <w:t xml:space="preserve"> in land development process</w:t>
      </w:r>
    </w:p>
    <w:p w14:paraId="446D209D" w14:textId="716B604E" w:rsidR="006B691C" w:rsidRPr="00D25EB4" w:rsidRDefault="006B691C" w:rsidP="006B691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 xml:space="preserve">75% </w:t>
      </w:r>
      <w:r w:rsidR="00857707" w:rsidRPr="00D25EB4">
        <w:rPr>
          <w:rFonts w:ascii="Calibri" w:eastAsia="Times New Roman" w:hAnsi="Calibri" w:cs="Calibri"/>
          <w:kern w:val="0"/>
          <w14:ligatures w14:val="none"/>
        </w:rPr>
        <w:t>of surveyed</w:t>
      </w:r>
      <w:r w:rsidR="0085770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57707" w:rsidRPr="00D25EB4">
        <w:rPr>
          <w:rFonts w:ascii="Calibri" w:eastAsia="Times New Roman" w:hAnsi="Calibri" w:cs="Calibri"/>
          <w:kern w:val="0"/>
          <w14:ligatures w14:val="none"/>
        </w:rPr>
        <w:t xml:space="preserve">attendees </w:t>
      </w:r>
      <w:r w:rsidR="00857707">
        <w:t xml:space="preserve">of the </w:t>
      </w:r>
      <w:r w:rsidR="00857707">
        <w:rPr>
          <w:rFonts w:ascii="Calibri" w:eastAsia="Times New Roman" w:hAnsi="Calibri" w:cs="Calibri"/>
          <w:kern w:val="0"/>
          <w14:ligatures w14:val="none"/>
        </w:rPr>
        <w:t>O</w:t>
      </w:r>
      <w:r w:rsidR="00F65930">
        <w:rPr>
          <w:rFonts w:ascii="Calibri" w:eastAsia="Times New Roman" w:hAnsi="Calibri" w:cs="Calibri"/>
          <w:kern w:val="0"/>
          <w14:ligatures w14:val="none"/>
        </w:rPr>
        <w:t>CC</w:t>
      </w:r>
      <w:r w:rsidR="0085770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426360" w:rsidRPr="00D25EB4">
        <w:rPr>
          <w:rFonts w:ascii="Calibri" w:eastAsia="Times New Roman" w:hAnsi="Calibri" w:cs="Calibri"/>
          <w:kern w:val="0"/>
          <w14:ligatures w14:val="none"/>
        </w:rPr>
        <w:t xml:space="preserve">will </w:t>
      </w:r>
      <w:r w:rsidRPr="00D25EB4">
        <w:rPr>
          <w:rFonts w:ascii="Calibri" w:eastAsia="Times New Roman" w:hAnsi="Calibri" w:cs="Calibri"/>
          <w:kern w:val="0"/>
          <w14:ligatures w14:val="none"/>
        </w:rPr>
        <w:t>self-report knowledge gain in sustainable landscaping efforts</w:t>
      </w:r>
    </w:p>
    <w:p w14:paraId="5CA1C7B8" w14:textId="611A8B9C" w:rsidR="00CD5497" w:rsidRPr="00D25EB4" w:rsidRDefault="00571A58" w:rsidP="00D5577B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 xml:space="preserve">30% </w:t>
      </w:r>
      <w:r w:rsidR="00857707" w:rsidRPr="00D25EB4">
        <w:rPr>
          <w:rFonts w:ascii="Calibri" w:eastAsia="Times New Roman" w:hAnsi="Calibri" w:cs="Calibri"/>
          <w:kern w:val="0"/>
          <w14:ligatures w14:val="none"/>
        </w:rPr>
        <w:t>of surveyed</w:t>
      </w:r>
      <w:r w:rsidR="0085770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57707" w:rsidRPr="00D25EB4">
        <w:rPr>
          <w:rFonts w:ascii="Calibri" w:eastAsia="Times New Roman" w:hAnsi="Calibri" w:cs="Calibri"/>
          <w:kern w:val="0"/>
          <w14:ligatures w14:val="none"/>
        </w:rPr>
        <w:t xml:space="preserve">attendees </w:t>
      </w:r>
      <w:r w:rsidR="00857707">
        <w:t xml:space="preserve">of the </w:t>
      </w:r>
      <w:r w:rsidR="00857707">
        <w:rPr>
          <w:rFonts w:ascii="Calibri" w:eastAsia="Times New Roman" w:hAnsi="Calibri" w:cs="Calibri"/>
          <w:kern w:val="0"/>
          <w14:ligatures w14:val="none"/>
        </w:rPr>
        <w:t>O</w:t>
      </w:r>
      <w:r w:rsidR="00F65930">
        <w:rPr>
          <w:rFonts w:ascii="Calibri" w:eastAsia="Times New Roman" w:hAnsi="Calibri" w:cs="Calibri"/>
          <w:kern w:val="0"/>
          <w14:ligatures w14:val="none"/>
        </w:rPr>
        <w:t>CC</w:t>
      </w:r>
      <w:r w:rsidR="0085770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D25EB4">
        <w:rPr>
          <w:rFonts w:ascii="Calibri" w:eastAsia="Times New Roman" w:hAnsi="Calibri" w:cs="Calibri"/>
          <w:kern w:val="0"/>
          <w14:ligatures w14:val="none"/>
        </w:rPr>
        <w:t>will intend</w:t>
      </w:r>
      <w:r w:rsidR="00CD5497" w:rsidRPr="00D25EB4">
        <w:rPr>
          <w:rFonts w:ascii="Calibri" w:eastAsia="Times New Roman" w:hAnsi="Calibri" w:cs="Calibri"/>
          <w:kern w:val="0"/>
          <w14:ligatures w14:val="none"/>
        </w:rPr>
        <w:t xml:space="preserve"> to</w:t>
      </w:r>
    </w:p>
    <w:p w14:paraId="37105C42" w14:textId="6C06DC73" w:rsidR="00571A58" w:rsidRPr="00D25EB4" w:rsidRDefault="0008087F" w:rsidP="00CD5497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>A</w:t>
      </w:r>
      <w:r w:rsidR="00CD5497" w:rsidRPr="00D25EB4">
        <w:rPr>
          <w:rFonts w:ascii="Calibri" w:eastAsia="Times New Roman" w:hAnsi="Calibri" w:cs="Calibri"/>
          <w:kern w:val="0"/>
          <w14:ligatures w14:val="none"/>
        </w:rPr>
        <w:t xml:space="preserve">dopt </w:t>
      </w:r>
      <w:r w:rsidR="00CD5497" w:rsidRPr="00D25EB4">
        <w:rPr>
          <w:rFonts w:ascii="Calibri" w:hAnsi="Calibri" w:cs="Calibri"/>
        </w:rPr>
        <w:t>compost amendments</w:t>
      </w:r>
      <w:r w:rsidR="00B30339">
        <w:rPr>
          <w:rFonts w:ascii="Calibri" w:hAnsi="Calibri" w:cs="Calibri"/>
        </w:rPr>
        <w:t>,</w:t>
      </w:r>
    </w:p>
    <w:p w14:paraId="07F77596" w14:textId="5E44158C" w:rsidR="00CD5497" w:rsidRPr="00D25EB4" w:rsidRDefault="00CD5497" w:rsidP="00CD5497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 xml:space="preserve">Reduce </w:t>
      </w:r>
      <w:r w:rsidR="0008087F" w:rsidRPr="00D25EB4">
        <w:rPr>
          <w:rFonts w:ascii="Calibri" w:hAnsi="Calibri" w:cs="Calibri"/>
        </w:rPr>
        <w:t>irrigation</w:t>
      </w:r>
      <w:r w:rsidR="00B30339">
        <w:rPr>
          <w:rFonts w:ascii="Calibri" w:hAnsi="Calibri" w:cs="Calibri"/>
        </w:rPr>
        <w:t>, and/or</w:t>
      </w:r>
    </w:p>
    <w:p w14:paraId="75A18758" w14:textId="4F0FC85F" w:rsidR="0008087F" w:rsidRPr="00D25EB4" w:rsidRDefault="0008087F" w:rsidP="00CD5497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>Select and install native plants</w:t>
      </w:r>
    </w:p>
    <w:p w14:paraId="5E849341" w14:textId="1D39283A" w:rsidR="0011393E" w:rsidRPr="00D25EB4" w:rsidRDefault="0011393E" w:rsidP="00D5577B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 xml:space="preserve">Lead to behavior adoption in </w:t>
      </w:r>
      <w:r w:rsidR="00A340FD" w:rsidRPr="00D25EB4">
        <w:rPr>
          <w:rFonts w:ascii="Calibri" w:eastAsia="Times New Roman" w:hAnsi="Calibri" w:cs="Calibri"/>
          <w:kern w:val="0"/>
          <w14:ligatures w14:val="none"/>
        </w:rPr>
        <w:t xml:space="preserve">at least one </w:t>
      </w:r>
      <w:r w:rsidRPr="00D25EB4">
        <w:rPr>
          <w:rFonts w:ascii="Calibri" w:eastAsia="Times New Roman" w:hAnsi="Calibri" w:cs="Calibri"/>
          <w:kern w:val="0"/>
          <w14:ligatures w14:val="none"/>
        </w:rPr>
        <w:t>master-planned communit</w:t>
      </w:r>
      <w:r w:rsidR="00566C6F" w:rsidRPr="00D25EB4">
        <w:rPr>
          <w:rFonts w:ascii="Calibri" w:eastAsia="Times New Roman" w:hAnsi="Calibri" w:cs="Calibri"/>
          <w:kern w:val="0"/>
          <w14:ligatures w14:val="none"/>
        </w:rPr>
        <w:t>y</w:t>
      </w:r>
    </w:p>
    <w:p w14:paraId="43701C95" w14:textId="3366D826" w:rsidR="00AC2B78" w:rsidRPr="00D25EB4" w:rsidRDefault="00AC2B78" w:rsidP="00D5577B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>Spur conversations</w:t>
      </w:r>
      <w:r w:rsidR="009344FD" w:rsidRPr="00D25EB4">
        <w:rPr>
          <w:rFonts w:ascii="Calibri" w:eastAsia="Times New Roman" w:hAnsi="Calibri" w:cs="Calibri"/>
          <w:kern w:val="0"/>
          <w14:ligatures w14:val="none"/>
        </w:rPr>
        <w:t xml:space="preserve"> between UF/IFAS Extension</w:t>
      </w:r>
      <w:r w:rsidR="002B247B" w:rsidRPr="00D25EB4">
        <w:rPr>
          <w:rFonts w:ascii="Calibri" w:eastAsia="Times New Roman" w:hAnsi="Calibri" w:cs="Calibri"/>
          <w:kern w:val="0"/>
          <w14:ligatures w14:val="none"/>
        </w:rPr>
        <w:t>,</w:t>
      </w:r>
      <w:r w:rsidR="00587BD3" w:rsidRPr="00D25EB4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9344FD" w:rsidRPr="00D25EB4">
        <w:rPr>
          <w:rFonts w:ascii="Calibri" w:eastAsia="Times New Roman" w:hAnsi="Calibri" w:cs="Calibri"/>
          <w:kern w:val="0"/>
          <w14:ligatures w14:val="none"/>
        </w:rPr>
        <w:t>green industry professionals,</w:t>
      </w:r>
      <w:r w:rsidRPr="00D25EB4">
        <w:rPr>
          <w:rFonts w:ascii="Calibri" w:eastAsia="Times New Roman" w:hAnsi="Calibri" w:cs="Calibri"/>
          <w:kern w:val="0"/>
          <w14:ligatures w14:val="none"/>
        </w:rPr>
        <w:t xml:space="preserve"> municipalities</w:t>
      </w:r>
      <w:r w:rsidR="000A4877" w:rsidRPr="00D25EB4">
        <w:rPr>
          <w:rFonts w:ascii="Calibri" w:eastAsia="Times New Roman" w:hAnsi="Calibri" w:cs="Calibri"/>
          <w:kern w:val="0"/>
          <w14:ligatures w14:val="none"/>
        </w:rPr>
        <w:t>,</w:t>
      </w:r>
      <w:r w:rsidRPr="00D25EB4">
        <w:rPr>
          <w:rFonts w:ascii="Calibri" w:eastAsia="Times New Roman" w:hAnsi="Calibri" w:cs="Calibri"/>
          <w:kern w:val="0"/>
          <w14:ligatures w14:val="none"/>
        </w:rPr>
        <w:t xml:space="preserve"> and master-planned </w:t>
      </w:r>
      <w:r w:rsidR="008E2D54" w:rsidRPr="00D25EB4">
        <w:rPr>
          <w:rFonts w:ascii="Calibri" w:eastAsia="Times New Roman" w:hAnsi="Calibri" w:cs="Calibri"/>
          <w:kern w:val="0"/>
          <w14:ligatures w14:val="none"/>
        </w:rPr>
        <w:t>communities about resource-efficient and biodiverse landscapes</w:t>
      </w:r>
    </w:p>
    <w:p w14:paraId="08DCFB0A" w14:textId="77777777" w:rsidR="0092494F" w:rsidRPr="00D25EB4" w:rsidRDefault="0092494F" w:rsidP="00CD7594">
      <w:pPr>
        <w:spacing w:after="0" w:line="240" w:lineRule="auto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06AB99E7" w14:textId="77777777" w:rsidR="005F57B3" w:rsidRPr="00D25EB4" w:rsidRDefault="00E91A30" w:rsidP="005F57B3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25EB4">
        <w:rPr>
          <w:rFonts w:ascii="Calibri" w:eastAsia="Times New Roman" w:hAnsi="Calibri" w:cs="Calibri"/>
          <w:b/>
          <w:bCs/>
          <w:kern w:val="0"/>
          <w14:ligatures w14:val="none"/>
        </w:rPr>
        <w:t>Program Activities</w:t>
      </w:r>
      <w:r w:rsidR="005F57B3" w:rsidRPr="00D25EB4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709AE9C8" w14:textId="22E3B5E4" w:rsidR="00885EC5" w:rsidRPr="003A0855" w:rsidRDefault="00885EC5" w:rsidP="003A085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A0855">
        <w:rPr>
          <w:rFonts w:ascii="Calibri" w:eastAsia="Times New Roman" w:hAnsi="Calibri" w:cs="Calibri"/>
          <w:kern w:val="0"/>
          <w14:ligatures w14:val="none"/>
        </w:rPr>
        <w:t xml:space="preserve">UF/IFAS Extension Lake County partnered with the </w:t>
      </w:r>
      <w:r w:rsidR="004D37E8" w:rsidRPr="003A0855">
        <w:rPr>
          <w:rFonts w:ascii="Calibri" w:eastAsia="Times New Roman" w:hAnsi="Calibri" w:cs="Calibri"/>
          <w:kern w:val="0"/>
          <w14:ligatures w14:val="none"/>
        </w:rPr>
        <w:t>UF/IFAS Program for Resource Efficient Communities</w:t>
      </w:r>
      <w:r w:rsidR="007776C2" w:rsidRPr="003A0855">
        <w:rPr>
          <w:rFonts w:ascii="Calibri" w:eastAsia="Times New Roman" w:hAnsi="Calibri" w:cs="Calibri"/>
          <w:kern w:val="0"/>
          <w14:ligatures w14:val="none"/>
        </w:rPr>
        <w:t>,</w:t>
      </w:r>
      <w:r w:rsidR="004D37E8" w:rsidRPr="003A0855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3A0855">
        <w:rPr>
          <w:rFonts w:ascii="Calibri" w:eastAsia="Times New Roman" w:hAnsi="Calibri" w:cs="Calibri"/>
          <w:kern w:val="0"/>
          <w14:ligatures w14:val="none"/>
        </w:rPr>
        <w:t xml:space="preserve">University of Central Florida, green industry partners, and developers to conduct a research educational session and tour at the annual </w:t>
      </w:r>
      <w:r w:rsidR="006E01CC" w:rsidRPr="003A0855">
        <w:rPr>
          <w:rFonts w:ascii="Calibri" w:eastAsia="Times New Roman" w:hAnsi="Calibri" w:cs="Calibri"/>
          <w:kern w:val="0"/>
          <w14:ligatures w14:val="none"/>
        </w:rPr>
        <w:t>statewide</w:t>
      </w:r>
      <w:r w:rsidRPr="003A0855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C3302C">
        <w:rPr>
          <w:rFonts w:ascii="Calibri" w:eastAsia="Times New Roman" w:hAnsi="Calibri" w:cs="Calibri"/>
          <w:kern w:val="0"/>
          <w14:ligatures w14:val="none"/>
        </w:rPr>
        <w:t>OCC</w:t>
      </w:r>
      <w:r w:rsidR="00392724" w:rsidRPr="003A0855">
        <w:rPr>
          <w:rFonts w:ascii="Calibri" w:eastAsia="Times New Roman" w:hAnsi="Calibri" w:cs="Calibri"/>
          <w:kern w:val="0"/>
          <w14:ligatures w14:val="none"/>
        </w:rPr>
        <w:t xml:space="preserve"> held in Lake Nona</w:t>
      </w:r>
      <w:r w:rsidR="004B59E9" w:rsidRPr="003A0855">
        <w:rPr>
          <w:rFonts w:ascii="Calibri" w:eastAsia="Times New Roman" w:hAnsi="Calibri" w:cs="Calibri"/>
          <w:kern w:val="0"/>
          <w14:ligatures w14:val="none"/>
        </w:rPr>
        <w:t>,</w:t>
      </w:r>
      <w:r w:rsidR="00392724" w:rsidRPr="003A0855">
        <w:rPr>
          <w:rFonts w:ascii="Calibri" w:eastAsia="Times New Roman" w:hAnsi="Calibri" w:cs="Calibri"/>
          <w:kern w:val="0"/>
          <w14:ligatures w14:val="none"/>
        </w:rPr>
        <w:t xml:space="preserve"> Florida</w:t>
      </w:r>
      <w:r w:rsidRPr="003A0855">
        <w:rPr>
          <w:rFonts w:ascii="Calibri" w:eastAsia="Times New Roman" w:hAnsi="Calibri" w:cs="Calibri"/>
          <w:kern w:val="0"/>
          <w14:ligatures w14:val="none"/>
        </w:rPr>
        <w:t>.</w:t>
      </w:r>
    </w:p>
    <w:p w14:paraId="755422C8" w14:textId="49240B86" w:rsidR="006B07CC" w:rsidRPr="00D25EB4" w:rsidRDefault="00270394" w:rsidP="004933B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 xml:space="preserve">Lectures - 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Our </w:t>
      </w:r>
      <w:r w:rsidR="00B30339">
        <w:rPr>
          <w:rFonts w:ascii="Calibri" w:eastAsia="Times New Roman" w:hAnsi="Calibri" w:cs="Calibri"/>
          <w:kern w:val="0"/>
          <w14:ligatures w14:val="none"/>
        </w:rPr>
        <w:t>t</w:t>
      </w:r>
      <w:r w:rsidR="00CD7594" w:rsidRPr="00D25EB4">
        <w:rPr>
          <w:rFonts w:ascii="Calibri" w:eastAsia="Times New Roman" w:hAnsi="Calibri" w:cs="Calibri"/>
          <w:kern w:val="0"/>
          <w14:ligatures w14:val="none"/>
        </w:rPr>
        <w:t xml:space="preserve">eam 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delivered </w:t>
      </w:r>
      <w:r w:rsidR="00BD6E18" w:rsidRPr="00D25EB4">
        <w:rPr>
          <w:rFonts w:ascii="Calibri" w:eastAsia="Times New Roman" w:hAnsi="Calibri" w:cs="Calibri"/>
          <w:kern w:val="0"/>
          <w14:ligatures w14:val="none"/>
        </w:rPr>
        <w:t>two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 90-minute lecture</w:t>
      </w:r>
      <w:r w:rsidR="00BD6E18" w:rsidRPr="00D25EB4">
        <w:rPr>
          <w:rFonts w:ascii="Calibri" w:eastAsia="Times New Roman" w:hAnsi="Calibri" w:cs="Calibri"/>
          <w:kern w:val="0"/>
          <w14:ligatures w14:val="none"/>
        </w:rPr>
        <w:t>s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 on preliminary research findings of water-conserving and pollinator-attracting sustainable landscaping</w:t>
      </w:r>
    </w:p>
    <w:p w14:paraId="6A277CB7" w14:textId="0B0E30F1" w:rsidR="00E91A30" w:rsidRPr="00D25EB4" w:rsidRDefault="00270394" w:rsidP="004933B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 xml:space="preserve">Tours - 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We guided </w:t>
      </w:r>
      <w:r w:rsidR="002B4896" w:rsidRPr="00D25EB4">
        <w:rPr>
          <w:rFonts w:ascii="Calibri" w:eastAsia="Times New Roman" w:hAnsi="Calibri" w:cs="Calibri"/>
          <w:kern w:val="0"/>
          <w14:ligatures w14:val="none"/>
        </w:rPr>
        <w:t>O</w:t>
      </w:r>
      <w:r w:rsidR="00C3302C">
        <w:rPr>
          <w:rFonts w:ascii="Calibri" w:eastAsia="Times New Roman" w:hAnsi="Calibri" w:cs="Calibri"/>
          <w:kern w:val="0"/>
          <w14:ligatures w14:val="none"/>
        </w:rPr>
        <w:t>CC</w:t>
      </w:r>
      <w:r w:rsidR="002B4896" w:rsidRPr="00D25EB4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participants through our </w:t>
      </w:r>
      <w:r w:rsidR="00F818A9">
        <w:rPr>
          <w:rFonts w:ascii="Calibri" w:eastAsia="Times New Roman" w:hAnsi="Calibri" w:cs="Calibri"/>
          <w:kern w:val="0"/>
          <w14:ligatures w14:val="none"/>
        </w:rPr>
        <w:t>L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iving </w:t>
      </w:r>
      <w:r w:rsidR="00F818A9">
        <w:rPr>
          <w:rFonts w:ascii="Calibri" w:eastAsia="Times New Roman" w:hAnsi="Calibri" w:cs="Calibri"/>
          <w:kern w:val="0"/>
          <w14:ligatures w14:val="none"/>
        </w:rPr>
        <w:t>L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>aboratory research sites</w:t>
      </w:r>
      <w:r w:rsidR="007A6EE0">
        <w:rPr>
          <w:rFonts w:ascii="Calibri" w:eastAsia="Times New Roman" w:hAnsi="Calibri" w:cs="Calibri"/>
          <w:kern w:val="0"/>
          <w14:ligatures w14:val="none"/>
        </w:rPr>
        <w:t xml:space="preserve"> and model home</w:t>
      </w:r>
      <w:r w:rsidR="00524BFB">
        <w:rPr>
          <w:rFonts w:ascii="Calibri" w:eastAsia="Times New Roman" w:hAnsi="Calibri" w:cs="Calibri"/>
          <w:kern w:val="0"/>
          <w14:ligatures w14:val="none"/>
        </w:rPr>
        <w:t xml:space="preserve"> landscapes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, where we </w:t>
      </w:r>
      <w:r w:rsidR="00A54F1F" w:rsidRPr="00D25EB4">
        <w:rPr>
          <w:rFonts w:ascii="Calibri" w:eastAsia="Times New Roman" w:hAnsi="Calibri" w:cs="Calibri"/>
          <w:kern w:val="0"/>
          <w14:ligatures w14:val="none"/>
        </w:rPr>
        <w:t>discussed</w:t>
      </w:r>
      <w:r w:rsidR="00E91A30" w:rsidRPr="00D25EB4">
        <w:rPr>
          <w:rFonts w:ascii="Calibri" w:eastAsia="Times New Roman" w:hAnsi="Calibri" w:cs="Calibri"/>
          <w:kern w:val="0"/>
          <w14:ligatures w14:val="none"/>
        </w:rPr>
        <w:t xml:space="preserve"> soil remediation, arthropod food webs, and drought-tolerant landscaping.</w:t>
      </w:r>
    </w:p>
    <w:p w14:paraId="39BD2464" w14:textId="778CBDE5" w:rsidR="003A1A3D" w:rsidRPr="00D25EB4" w:rsidRDefault="00F77F62" w:rsidP="004933BE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>Online learning</w:t>
      </w:r>
      <w:r w:rsidR="009172B3">
        <w:rPr>
          <w:rFonts w:ascii="Calibri" w:eastAsia="Times New Roman" w:hAnsi="Calibri" w:cs="Calibri"/>
          <w:kern w:val="0"/>
          <w14:ligatures w14:val="none"/>
        </w:rPr>
        <w:t xml:space="preserve"> - </w:t>
      </w:r>
      <w:r w:rsidR="00C47C3F" w:rsidRPr="00D25EB4">
        <w:rPr>
          <w:rFonts w:ascii="Calibri" w:eastAsia="Times New Roman" w:hAnsi="Calibri" w:cs="Calibri"/>
          <w:kern w:val="0"/>
          <w14:ligatures w14:val="none"/>
        </w:rPr>
        <w:t>Lectures were posted to YouTube</w:t>
      </w:r>
      <w:r w:rsidR="00C3302C">
        <w:rPr>
          <w:rFonts w:ascii="Calibri" w:eastAsia="Times New Roman" w:hAnsi="Calibri" w:cs="Calibri"/>
          <w:kern w:val="0"/>
          <w14:ligatures w14:val="none"/>
        </w:rPr>
        <w:t>.</w:t>
      </w:r>
    </w:p>
    <w:p w14:paraId="5FC85E39" w14:textId="15EFB454" w:rsidR="007978B6" w:rsidRPr="00E95EB2" w:rsidRDefault="00E95EB2" w:rsidP="00E95EB2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Presented twenty-minute to one-hour-long presentations to multiple </w:t>
      </w:r>
      <w:r w:rsidR="00B30339">
        <w:rPr>
          <w:rFonts w:ascii="Calibri" w:eastAsia="Times New Roman" w:hAnsi="Calibri" w:cs="Calibri"/>
          <w:kern w:val="0"/>
          <w14:ligatures w14:val="none"/>
        </w:rPr>
        <w:t xml:space="preserve">professional </w:t>
      </w:r>
      <w:r>
        <w:rPr>
          <w:rFonts w:ascii="Calibri" w:eastAsia="Times New Roman" w:hAnsi="Calibri" w:cs="Calibri"/>
          <w:kern w:val="0"/>
          <w14:ligatures w14:val="none"/>
        </w:rPr>
        <w:t>audiences</w:t>
      </w:r>
      <w:r w:rsidR="00BD72E2">
        <w:rPr>
          <w:rFonts w:ascii="Calibri" w:eastAsia="Times New Roman" w:hAnsi="Calibri" w:cs="Calibri"/>
          <w:kern w:val="0"/>
          <w14:ligatures w14:val="none"/>
        </w:rPr>
        <w:t xml:space="preserve"> using </w:t>
      </w:r>
      <w:r w:rsidR="00C3302C">
        <w:rPr>
          <w:rFonts w:ascii="Calibri" w:eastAsia="Times New Roman" w:hAnsi="Calibri" w:cs="Calibri"/>
          <w:kern w:val="0"/>
          <w14:ligatures w14:val="none"/>
        </w:rPr>
        <w:t>lecture-style</w:t>
      </w:r>
      <w:r w:rsidR="00B3033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D72E2">
        <w:rPr>
          <w:rFonts w:ascii="Calibri" w:eastAsia="Times New Roman" w:hAnsi="Calibri" w:cs="Calibri"/>
          <w:kern w:val="0"/>
          <w14:ligatures w14:val="none"/>
        </w:rPr>
        <w:t>PowerPoint</w:t>
      </w:r>
      <w:r w:rsidR="00B30339">
        <w:rPr>
          <w:rFonts w:ascii="Calibri" w:eastAsia="Times New Roman" w:hAnsi="Calibri" w:cs="Calibri"/>
          <w:kern w:val="0"/>
          <w14:ligatures w14:val="none"/>
        </w:rPr>
        <w:t xml:space="preserve"> presentations</w:t>
      </w:r>
      <w:r w:rsidR="007A6EE0">
        <w:rPr>
          <w:rFonts w:ascii="Calibri" w:eastAsia="Times New Roman" w:hAnsi="Calibri" w:cs="Calibri"/>
          <w:kern w:val="0"/>
          <w14:ligatures w14:val="none"/>
        </w:rPr>
        <w:t>.</w:t>
      </w:r>
    </w:p>
    <w:p w14:paraId="43F7398A" w14:textId="77777777" w:rsidR="00BD72E2" w:rsidRDefault="00BD72E2" w:rsidP="005C742E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D9B20B9" w14:textId="31778C7C" w:rsidR="005C742E" w:rsidRPr="00D25EB4" w:rsidRDefault="005C742E" w:rsidP="005C742E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25EB4">
        <w:rPr>
          <w:rFonts w:ascii="Calibri" w:eastAsia="Times New Roman" w:hAnsi="Calibri" w:cs="Calibri"/>
          <w:b/>
          <w:bCs/>
          <w:kern w:val="0"/>
          <w14:ligatures w14:val="none"/>
        </w:rPr>
        <w:t>Teaching Methods</w:t>
      </w:r>
      <w:r w:rsidR="00052045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3CCFBF1B" w14:textId="395C5B28" w:rsidR="00B30339" w:rsidRDefault="00E758BF" w:rsidP="006F6179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30339">
        <w:rPr>
          <w:rFonts w:ascii="Calibri" w:eastAsia="Times New Roman" w:hAnsi="Calibri" w:cs="Calibri"/>
          <w:kern w:val="0"/>
          <w14:ligatures w14:val="none"/>
        </w:rPr>
        <w:t>Taught traditional lecture style with PowerPoint presentations</w:t>
      </w:r>
      <w:r w:rsidR="00001869">
        <w:rPr>
          <w:rFonts w:ascii="Calibri" w:eastAsia="Times New Roman" w:hAnsi="Calibri" w:cs="Calibri"/>
          <w:kern w:val="0"/>
          <w14:ligatures w14:val="none"/>
        </w:rPr>
        <w:t>.</w:t>
      </w:r>
    </w:p>
    <w:p w14:paraId="789DE7F3" w14:textId="3555EF72" w:rsidR="00342BF7" w:rsidRPr="00B30339" w:rsidRDefault="00342BF7" w:rsidP="006F6179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30339">
        <w:rPr>
          <w:rFonts w:ascii="Calibri" w:eastAsia="Times New Roman" w:hAnsi="Calibri" w:cs="Calibri"/>
          <w:kern w:val="0"/>
          <w14:ligatures w14:val="none"/>
        </w:rPr>
        <w:t>Provided in-field tours of the Living Laboratory research plots and alternative landscapes of model homes.  Participants rotated through six stations. Tour length was approximately four hours.</w:t>
      </w:r>
    </w:p>
    <w:p w14:paraId="17116069" w14:textId="77777777" w:rsidR="00C3302C" w:rsidRDefault="00342BF7" w:rsidP="007A6EE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3302C">
        <w:rPr>
          <w:rFonts w:ascii="Calibri" w:eastAsia="Times New Roman" w:hAnsi="Calibri" w:cs="Calibri"/>
          <w:kern w:val="0"/>
          <w14:ligatures w14:val="none"/>
        </w:rPr>
        <w:t xml:space="preserve">Edited and disseminated the New Yard Pattern Book to guide builders, landscape architects, and green industry professionals </w:t>
      </w:r>
    </w:p>
    <w:p w14:paraId="27A97A71" w14:textId="1BEE7C6C" w:rsidR="00B30339" w:rsidRPr="00C3302C" w:rsidRDefault="00342BF7" w:rsidP="007A6EE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3302C">
        <w:rPr>
          <w:rFonts w:ascii="Calibri" w:eastAsia="Times New Roman" w:hAnsi="Calibri" w:cs="Calibri"/>
          <w:kern w:val="0"/>
          <w14:ligatures w14:val="none"/>
        </w:rPr>
        <w:t xml:space="preserve">For marketing, </w:t>
      </w:r>
      <w:r w:rsidR="00B30339" w:rsidRPr="00C3302C">
        <w:rPr>
          <w:rFonts w:ascii="Calibri" w:eastAsia="Times New Roman" w:hAnsi="Calibri" w:cs="Calibri"/>
          <w:kern w:val="0"/>
          <w14:ligatures w14:val="none"/>
        </w:rPr>
        <w:t xml:space="preserve">we utilized </w:t>
      </w:r>
      <w:r w:rsidRPr="00C3302C">
        <w:rPr>
          <w:rFonts w:ascii="Calibri" w:eastAsia="Times New Roman" w:hAnsi="Calibri" w:cs="Calibri"/>
          <w:kern w:val="0"/>
          <w14:ligatures w14:val="none"/>
        </w:rPr>
        <w:t xml:space="preserve">social media posts, e-mails to industry groups/academics, and </w:t>
      </w:r>
      <w:r w:rsidR="00C3302C">
        <w:rPr>
          <w:rFonts w:ascii="Calibri" w:eastAsia="Times New Roman" w:hAnsi="Calibri" w:cs="Calibri"/>
          <w:kern w:val="0"/>
          <w14:ligatures w14:val="none"/>
        </w:rPr>
        <w:t xml:space="preserve">a </w:t>
      </w:r>
      <w:r w:rsidRPr="00C3302C">
        <w:rPr>
          <w:rFonts w:ascii="Calibri" w:eastAsia="Times New Roman" w:hAnsi="Calibri" w:cs="Calibri"/>
          <w:kern w:val="0"/>
          <w14:ligatures w14:val="none"/>
        </w:rPr>
        <w:t>YouTube video</w:t>
      </w:r>
      <w:r w:rsidR="00C3302C">
        <w:rPr>
          <w:rFonts w:ascii="Calibri" w:eastAsia="Times New Roman" w:hAnsi="Calibri" w:cs="Calibri"/>
          <w:kern w:val="0"/>
          <w14:ligatures w14:val="none"/>
        </w:rPr>
        <w:t>.</w:t>
      </w:r>
      <w:r w:rsidRPr="00C3302C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488829C" w14:textId="77777777" w:rsidR="00517176" w:rsidRPr="00517176" w:rsidRDefault="00517176" w:rsidP="00517176">
      <w:pPr>
        <w:pStyle w:val="ListParagraph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EB45E99" w14:textId="0DCDB51B" w:rsidR="00342BF7" w:rsidRDefault="00342BF7" w:rsidP="00342BF7">
      <w:pPr>
        <w:pStyle w:val="ListParagraph"/>
        <w:spacing w:after="0" w:line="240" w:lineRule="auto"/>
        <w:ind w:hanging="720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Table 1. Participants per educational 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940"/>
        <w:gridCol w:w="2335"/>
      </w:tblGrid>
      <w:tr w:rsidR="00342BF7" w14:paraId="7DB56E9E" w14:textId="77777777" w:rsidTr="00342BF7">
        <w:tc>
          <w:tcPr>
            <w:tcW w:w="1075" w:type="dxa"/>
          </w:tcPr>
          <w:p w14:paraId="722E22BB" w14:textId="7098B028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Year</w:t>
            </w:r>
          </w:p>
        </w:tc>
        <w:tc>
          <w:tcPr>
            <w:tcW w:w="5940" w:type="dxa"/>
          </w:tcPr>
          <w:p w14:paraId="6EF74C21" w14:textId="2ACEAFF6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Event</w:t>
            </w:r>
          </w:p>
        </w:tc>
        <w:tc>
          <w:tcPr>
            <w:tcW w:w="2335" w:type="dxa"/>
          </w:tcPr>
          <w:p w14:paraId="203072EB" w14:textId="54692B9F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Number of Attendees</w:t>
            </w:r>
          </w:p>
        </w:tc>
      </w:tr>
      <w:tr w:rsidR="00342BF7" w14:paraId="446ACA6B" w14:textId="77777777" w:rsidTr="00342BF7">
        <w:tc>
          <w:tcPr>
            <w:tcW w:w="1075" w:type="dxa"/>
          </w:tcPr>
          <w:p w14:paraId="4C45D0DE" w14:textId="2D14A9A5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2022</w:t>
            </w:r>
          </w:p>
        </w:tc>
        <w:tc>
          <w:tcPr>
            <w:tcW w:w="5940" w:type="dxa"/>
          </w:tcPr>
          <w:p w14:paraId="2D6AA340" w14:textId="152F75B9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Outside Collaborative Annual Conference</w:t>
            </w:r>
          </w:p>
        </w:tc>
        <w:tc>
          <w:tcPr>
            <w:tcW w:w="2335" w:type="dxa"/>
          </w:tcPr>
          <w:p w14:paraId="6F05967A" w14:textId="14B737A8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205</w:t>
            </w:r>
          </w:p>
        </w:tc>
      </w:tr>
      <w:tr w:rsidR="00342BF7" w14:paraId="18146A8F" w14:textId="77777777" w:rsidTr="00342BF7">
        <w:tc>
          <w:tcPr>
            <w:tcW w:w="1075" w:type="dxa"/>
          </w:tcPr>
          <w:p w14:paraId="7E7912CE" w14:textId="39077163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2023</w:t>
            </w:r>
          </w:p>
        </w:tc>
        <w:tc>
          <w:tcPr>
            <w:tcW w:w="5940" w:type="dxa"/>
          </w:tcPr>
          <w:p w14:paraId="05D3594F" w14:textId="1E580D11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Outside Collaborative Annual Conference</w:t>
            </w:r>
          </w:p>
        </w:tc>
        <w:tc>
          <w:tcPr>
            <w:tcW w:w="2335" w:type="dxa"/>
          </w:tcPr>
          <w:p w14:paraId="1815D18A" w14:textId="4D0AAA2B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175</w:t>
            </w:r>
          </w:p>
        </w:tc>
      </w:tr>
      <w:tr w:rsidR="00342BF7" w14:paraId="5AD01D93" w14:textId="77777777" w:rsidTr="00052045">
        <w:trPr>
          <w:trHeight w:val="710"/>
        </w:trPr>
        <w:tc>
          <w:tcPr>
            <w:tcW w:w="1075" w:type="dxa"/>
          </w:tcPr>
          <w:p w14:paraId="3461AE04" w14:textId="02B91004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2023</w:t>
            </w:r>
          </w:p>
        </w:tc>
        <w:tc>
          <w:tcPr>
            <w:tcW w:w="5940" w:type="dxa"/>
          </w:tcPr>
          <w:p w14:paraId="225DAACB" w14:textId="52554DA8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333E1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 xml:space="preserve">South Lake Advanced Landscape Standards - </w:t>
            </w:r>
            <w:r w:rsidRPr="00342BF7">
              <w:rPr>
                <w:rFonts w:ascii="Calibri" w:eastAsia="Times New Roman" w:hAnsi="Calibri" w:cs="Calibri"/>
                <w:kern w:val="0"/>
                <w14:ligatures w14:val="none"/>
              </w:rPr>
              <w:t>Builders, Developers, &amp; Municipalities</w:t>
            </w:r>
          </w:p>
        </w:tc>
        <w:tc>
          <w:tcPr>
            <w:tcW w:w="2335" w:type="dxa"/>
          </w:tcPr>
          <w:p w14:paraId="7E6DF154" w14:textId="540111EC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</w:tr>
      <w:tr w:rsidR="00342BF7" w14:paraId="7967D3DC" w14:textId="77777777" w:rsidTr="00342BF7">
        <w:tc>
          <w:tcPr>
            <w:tcW w:w="1075" w:type="dxa"/>
          </w:tcPr>
          <w:p w14:paraId="7D0B6631" w14:textId="1A4D66B9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2023</w:t>
            </w:r>
          </w:p>
        </w:tc>
        <w:tc>
          <w:tcPr>
            <w:tcW w:w="5940" w:type="dxa"/>
          </w:tcPr>
          <w:p w14:paraId="395C652E" w14:textId="1E085650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Wellness Way – Builders, Developers, Environmental Agencies, &amp; Municipalities of Lake County</w:t>
            </w:r>
          </w:p>
        </w:tc>
        <w:tc>
          <w:tcPr>
            <w:tcW w:w="2335" w:type="dxa"/>
          </w:tcPr>
          <w:p w14:paraId="28A26776" w14:textId="2AA30BE5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</w:tr>
      <w:tr w:rsidR="00342BF7" w14:paraId="47A0F689" w14:textId="77777777" w:rsidTr="00342BF7">
        <w:tc>
          <w:tcPr>
            <w:tcW w:w="1075" w:type="dxa"/>
          </w:tcPr>
          <w:p w14:paraId="1F378F64" w14:textId="7889A933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2024</w:t>
            </w:r>
          </w:p>
        </w:tc>
        <w:tc>
          <w:tcPr>
            <w:tcW w:w="5940" w:type="dxa"/>
          </w:tcPr>
          <w:p w14:paraId="3184BB88" w14:textId="348A625C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Florida Association of Counties Innovation &amp; Policy Conference</w:t>
            </w:r>
          </w:p>
        </w:tc>
        <w:tc>
          <w:tcPr>
            <w:tcW w:w="2335" w:type="dxa"/>
          </w:tcPr>
          <w:p w14:paraId="4C1B1FD4" w14:textId="7136422A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</w:tr>
      <w:tr w:rsidR="00342BF7" w14:paraId="2BD40156" w14:textId="77777777" w:rsidTr="00342BF7">
        <w:tc>
          <w:tcPr>
            <w:tcW w:w="1075" w:type="dxa"/>
          </w:tcPr>
          <w:p w14:paraId="051EBC8A" w14:textId="4193766D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2024</w:t>
            </w:r>
          </w:p>
        </w:tc>
        <w:tc>
          <w:tcPr>
            <w:tcW w:w="5940" w:type="dxa"/>
          </w:tcPr>
          <w:p w14:paraId="0733BAA6" w14:textId="38369BB5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Florida Local Environmental Resource Agencies</w:t>
            </w:r>
          </w:p>
        </w:tc>
        <w:tc>
          <w:tcPr>
            <w:tcW w:w="2335" w:type="dxa"/>
          </w:tcPr>
          <w:p w14:paraId="668C34D7" w14:textId="2DBCDD31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</w:tr>
      <w:tr w:rsidR="00342BF7" w14:paraId="0717374E" w14:textId="77777777" w:rsidTr="00342BF7">
        <w:tc>
          <w:tcPr>
            <w:tcW w:w="1075" w:type="dxa"/>
          </w:tcPr>
          <w:p w14:paraId="7F4402ED" w14:textId="1F5F056E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2024</w:t>
            </w:r>
          </w:p>
        </w:tc>
        <w:tc>
          <w:tcPr>
            <w:tcW w:w="5940" w:type="dxa"/>
          </w:tcPr>
          <w:p w14:paraId="6F313143" w14:textId="748802AD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 Compost Council Annual Conference</w:t>
            </w:r>
          </w:p>
        </w:tc>
        <w:tc>
          <w:tcPr>
            <w:tcW w:w="2335" w:type="dxa"/>
          </w:tcPr>
          <w:p w14:paraId="4D3BB839" w14:textId="4E98A7DD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</w:tr>
      <w:tr w:rsidR="00342BF7" w14:paraId="79D3F240" w14:textId="77777777" w:rsidTr="00D859CF">
        <w:tc>
          <w:tcPr>
            <w:tcW w:w="7015" w:type="dxa"/>
            <w:gridSpan w:val="2"/>
          </w:tcPr>
          <w:p w14:paraId="0ABEC797" w14:textId="4DB71480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Total </w:t>
            </w:r>
            <w:r w:rsidR="006F2E11">
              <w:rPr>
                <w:rFonts w:ascii="Calibri" w:eastAsia="Times New Roman" w:hAnsi="Calibri" w:cs="Calibri"/>
                <w:kern w:val="0"/>
                <w14:ligatures w14:val="none"/>
              </w:rPr>
              <w:t>Participants</w:t>
            </w:r>
          </w:p>
        </w:tc>
        <w:tc>
          <w:tcPr>
            <w:tcW w:w="2335" w:type="dxa"/>
          </w:tcPr>
          <w:p w14:paraId="53FBB177" w14:textId="170D26C9" w:rsidR="00342BF7" w:rsidRDefault="00342BF7" w:rsidP="00342BF7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588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</w:p>
        </w:tc>
      </w:tr>
    </w:tbl>
    <w:p w14:paraId="75C09C32" w14:textId="77777777" w:rsidR="00342BF7" w:rsidRPr="00342BF7" w:rsidRDefault="00342BF7" w:rsidP="00342BF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4205F56" w14:textId="7EC7B78F" w:rsidR="00D5577B" w:rsidRPr="00D25EB4" w:rsidRDefault="00D5577B" w:rsidP="00205D8C">
      <w:pPr>
        <w:spacing w:after="0" w:line="240" w:lineRule="auto"/>
        <w:rPr>
          <w:rFonts w:ascii="Calibri" w:hAnsi="Calibri" w:cs="Calibri"/>
        </w:rPr>
      </w:pPr>
    </w:p>
    <w:p w14:paraId="39B0502E" w14:textId="241A3468" w:rsidR="00471ADF" w:rsidRPr="00D25EB4" w:rsidRDefault="002C02D4" w:rsidP="00471ADF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25EB4">
        <w:rPr>
          <w:rFonts w:ascii="Calibri" w:eastAsia="Times New Roman" w:hAnsi="Calibri" w:cs="Calibri"/>
          <w:b/>
          <w:bCs/>
          <w:kern w:val="0"/>
          <w14:ligatures w14:val="none"/>
        </w:rPr>
        <w:t>Results</w:t>
      </w:r>
      <w:r w:rsidR="00471ADF" w:rsidRPr="00D25EB4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55DBAB3B" w14:textId="632F1F50" w:rsidR="00675723" w:rsidRPr="00675723" w:rsidRDefault="00EB04C1" w:rsidP="00675723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 Below are the survey results for the 2022 </w:t>
      </w:r>
      <w:r w:rsidR="00266169">
        <w:rPr>
          <w:rFonts w:ascii="Calibri" w:eastAsia="Times New Roman" w:hAnsi="Calibri" w:cs="Calibri"/>
          <w:kern w:val="0"/>
          <w14:ligatures w14:val="none"/>
        </w:rPr>
        <w:t>&amp;</w:t>
      </w:r>
      <w:r>
        <w:rPr>
          <w:rFonts w:ascii="Calibri" w:eastAsia="Times New Roman" w:hAnsi="Calibri" w:cs="Calibri"/>
          <w:kern w:val="0"/>
          <w14:ligatures w14:val="none"/>
        </w:rPr>
        <w:t xml:space="preserve"> 2023 O</w:t>
      </w:r>
      <w:r w:rsidR="00266169">
        <w:rPr>
          <w:rFonts w:ascii="Calibri" w:eastAsia="Times New Roman" w:hAnsi="Calibri" w:cs="Calibri"/>
          <w:kern w:val="0"/>
          <w14:ligatures w14:val="none"/>
        </w:rPr>
        <w:t>CC</w:t>
      </w:r>
      <w:r>
        <w:rPr>
          <w:rFonts w:ascii="Calibri" w:eastAsia="Times New Roman" w:hAnsi="Calibri" w:cs="Calibri"/>
          <w:kern w:val="0"/>
          <w14:ligatures w14:val="none"/>
        </w:rPr>
        <w:t>.</w:t>
      </w:r>
    </w:p>
    <w:p w14:paraId="4D90489B" w14:textId="4E455BB2" w:rsidR="00492110" w:rsidRPr="00D25EB4" w:rsidRDefault="00721C10" w:rsidP="00471ADF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 xml:space="preserve">98% of </w:t>
      </w:r>
      <w:r w:rsidR="007E1892" w:rsidRPr="00D25EB4">
        <w:rPr>
          <w:rFonts w:ascii="Calibri" w:hAnsi="Calibri" w:cs="Calibri"/>
        </w:rPr>
        <w:t>55 respondents i</w:t>
      </w:r>
      <w:r w:rsidR="00B059F8" w:rsidRPr="00D25EB4">
        <w:rPr>
          <w:rFonts w:ascii="Calibri" w:hAnsi="Calibri" w:cs="Calibri"/>
        </w:rPr>
        <w:t xml:space="preserve">ncreased </w:t>
      </w:r>
      <w:r w:rsidR="007E1892" w:rsidRPr="00D25EB4">
        <w:rPr>
          <w:rFonts w:ascii="Calibri" w:hAnsi="Calibri" w:cs="Calibri"/>
        </w:rPr>
        <w:t>their</w:t>
      </w:r>
      <w:r w:rsidR="00B059F8" w:rsidRPr="00D25EB4">
        <w:rPr>
          <w:rFonts w:ascii="Calibri" w:hAnsi="Calibri" w:cs="Calibri"/>
        </w:rPr>
        <w:t xml:space="preserve"> knowledge of </w:t>
      </w:r>
      <w:r w:rsidR="005F57B3" w:rsidRPr="00D25EB4">
        <w:rPr>
          <w:rFonts w:ascii="Calibri" w:hAnsi="Calibri" w:cs="Calibri"/>
        </w:rPr>
        <w:t xml:space="preserve">land </w:t>
      </w:r>
      <w:r w:rsidR="00B059F8" w:rsidRPr="00D25EB4">
        <w:rPr>
          <w:rFonts w:ascii="Calibri" w:hAnsi="Calibri" w:cs="Calibri"/>
        </w:rPr>
        <w:t>development processes</w:t>
      </w:r>
      <w:r w:rsidR="00B059F8" w:rsidRPr="00D25EB4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02D06DA1" w14:textId="15A1C754" w:rsidR="00471ADF" w:rsidRPr="00D25EB4" w:rsidRDefault="000721D1" w:rsidP="00471ADF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>9</w:t>
      </w:r>
      <w:r w:rsidR="007E1892" w:rsidRPr="00D25EB4">
        <w:rPr>
          <w:rFonts w:ascii="Calibri" w:hAnsi="Calibri" w:cs="Calibri"/>
        </w:rPr>
        <w:t>9</w:t>
      </w:r>
      <w:r w:rsidRPr="00D25EB4">
        <w:rPr>
          <w:rFonts w:ascii="Calibri" w:hAnsi="Calibri" w:cs="Calibri"/>
        </w:rPr>
        <w:t>% o</w:t>
      </w:r>
      <w:r w:rsidR="0019528D" w:rsidRPr="00D25EB4">
        <w:rPr>
          <w:rFonts w:ascii="Calibri" w:hAnsi="Calibri" w:cs="Calibri"/>
        </w:rPr>
        <w:t>f</w:t>
      </w:r>
      <w:r w:rsidRPr="00D25EB4">
        <w:rPr>
          <w:rFonts w:ascii="Calibri" w:hAnsi="Calibri" w:cs="Calibri"/>
        </w:rPr>
        <w:t xml:space="preserve"> 119 respondents </w:t>
      </w:r>
      <w:r w:rsidR="0019528D" w:rsidRPr="00D25EB4">
        <w:rPr>
          <w:rFonts w:ascii="Calibri" w:hAnsi="Calibri" w:cs="Calibri"/>
        </w:rPr>
        <w:t>indicated that they were e</w:t>
      </w:r>
      <w:r w:rsidR="00492110" w:rsidRPr="00D25EB4">
        <w:rPr>
          <w:rFonts w:ascii="Calibri" w:hAnsi="Calibri" w:cs="Calibri"/>
        </w:rPr>
        <w:t>ncouraged to contribute to sustainable development and/or landscaping efforts</w:t>
      </w:r>
    </w:p>
    <w:p w14:paraId="742A2007" w14:textId="5872FA89" w:rsidR="00F13D5A" w:rsidRPr="00D25EB4" w:rsidRDefault="00347824" w:rsidP="00F13D5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>98% of 119 respondents i</w:t>
      </w:r>
      <w:r w:rsidR="00B97476" w:rsidRPr="00D25EB4">
        <w:rPr>
          <w:rFonts w:ascii="Calibri" w:hAnsi="Calibri" w:cs="Calibri"/>
        </w:rPr>
        <w:t xml:space="preserve">ncreased </w:t>
      </w:r>
      <w:r w:rsidRPr="00D25EB4">
        <w:rPr>
          <w:rFonts w:ascii="Calibri" w:hAnsi="Calibri" w:cs="Calibri"/>
        </w:rPr>
        <w:t>their</w:t>
      </w:r>
      <w:r w:rsidR="00B97476" w:rsidRPr="00D25EB4">
        <w:rPr>
          <w:rFonts w:ascii="Calibri" w:hAnsi="Calibri" w:cs="Calibri"/>
        </w:rPr>
        <w:t xml:space="preserve"> knowledge of sustainable landscape approaches</w:t>
      </w:r>
      <w:r w:rsidR="00B97476" w:rsidRPr="00D25EB4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3AA53E6" w14:textId="167F797F" w:rsidR="00F13D5A" w:rsidRPr="00D25EB4" w:rsidRDefault="002D4093" w:rsidP="00F13D5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 xml:space="preserve">98% </w:t>
      </w:r>
      <w:r w:rsidR="00C21258" w:rsidRPr="00D25EB4">
        <w:rPr>
          <w:rFonts w:ascii="Calibri" w:hAnsi="Calibri" w:cs="Calibri"/>
        </w:rPr>
        <w:t xml:space="preserve">of </w:t>
      </w:r>
      <w:r w:rsidR="005A5B4A" w:rsidRPr="00D25EB4">
        <w:rPr>
          <w:rFonts w:ascii="Calibri" w:hAnsi="Calibri" w:cs="Calibri"/>
        </w:rPr>
        <w:t>42</w:t>
      </w:r>
      <w:r w:rsidR="00C21258" w:rsidRPr="00D25EB4">
        <w:rPr>
          <w:rFonts w:ascii="Calibri" w:hAnsi="Calibri" w:cs="Calibri"/>
        </w:rPr>
        <w:t xml:space="preserve"> respondents were p</w:t>
      </w:r>
      <w:r w:rsidR="00EE3EB1" w:rsidRPr="00D25EB4">
        <w:rPr>
          <w:rFonts w:ascii="Calibri" w:hAnsi="Calibri" w:cs="Calibri"/>
        </w:rPr>
        <w:t xml:space="preserve">rovided </w:t>
      </w:r>
      <w:r w:rsidR="00C21258" w:rsidRPr="00D25EB4">
        <w:rPr>
          <w:rFonts w:ascii="Calibri" w:hAnsi="Calibri" w:cs="Calibri"/>
        </w:rPr>
        <w:t xml:space="preserve">with </w:t>
      </w:r>
      <w:r w:rsidR="00EE3EB1" w:rsidRPr="00D25EB4">
        <w:rPr>
          <w:rFonts w:ascii="Calibri" w:hAnsi="Calibri" w:cs="Calibri"/>
        </w:rPr>
        <w:t>new ideas for entrepreneurial opportunities</w:t>
      </w:r>
      <w:r w:rsidR="00EE3EB1" w:rsidRPr="00D25EB4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2C88A10F" w14:textId="40E9FE48" w:rsidR="00F13D5A" w:rsidRPr="00D25EB4" w:rsidRDefault="00DF107A" w:rsidP="00F13D5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 xml:space="preserve">85 participants responded to the following question </w:t>
      </w:r>
      <w:r w:rsidR="00D621D0" w:rsidRPr="00D25EB4">
        <w:rPr>
          <w:rFonts w:ascii="Calibri" w:hAnsi="Calibri" w:cs="Calibri"/>
        </w:rPr>
        <w:t xml:space="preserve">about specific landscape installation practices, </w:t>
      </w:r>
    </w:p>
    <w:p w14:paraId="56676690" w14:textId="0F2D588B" w:rsidR="00F13D5A" w:rsidRPr="00D25EB4" w:rsidRDefault="00FC4237" w:rsidP="00F13D5A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>36</w:t>
      </w:r>
      <w:r w:rsidR="00D621D0" w:rsidRPr="00D25EB4">
        <w:rPr>
          <w:rFonts w:ascii="Calibri" w:hAnsi="Calibri" w:cs="Calibri"/>
        </w:rPr>
        <w:t xml:space="preserve">% </w:t>
      </w:r>
      <w:r w:rsidR="00D25EB4" w:rsidRPr="00D25EB4">
        <w:rPr>
          <w:rFonts w:ascii="Calibri" w:hAnsi="Calibri" w:cs="Calibri"/>
        </w:rPr>
        <w:t>intend to</w:t>
      </w:r>
      <w:r w:rsidR="00EF48F2" w:rsidRPr="00D25EB4">
        <w:rPr>
          <w:rFonts w:ascii="Calibri" w:hAnsi="Calibri" w:cs="Calibri"/>
        </w:rPr>
        <w:t xml:space="preserve"> </w:t>
      </w:r>
      <w:r w:rsidR="00D621D0" w:rsidRPr="00D25EB4">
        <w:rPr>
          <w:rFonts w:ascii="Calibri" w:hAnsi="Calibri" w:cs="Calibri"/>
        </w:rPr>
        <w:t>adopt compost amendments</w:t>
      </w:r>
    </w:p>
    <w:p w14:paraId="6CBAE8BB" w14:textId="185DF799" w:rsidR="00F13D5A" w:rsidRPr="00D25EB4" w:rsidRDefault="00FC4237" w:rsidP="00F13D5A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>41</w:t>
      </w:r>
      <w:r w:rsidR="00D621D0" w:rsidRPr="00D25EB4">
        <w:rPr>
          <w:rFonts w:ascii="Calibri" w:hAnsi="Calibri" w:cs="Calibri"/>
        </w:rPr>
        <w:t xml:space="preserve">% </w:t>
      </w:r>
      <w:r w:rsidR="00D25EB4" w:rsidRPr="00D25EB4">
        <w:rPr>
          <w:rFonts w:ascii="Calibri" w:hAnsi="Calibri" w:cs="Calibri"/>
        </w:rPr>
        <w:t xml:space="preserve">intend to </w:t>
      </w:r>
      <w:r w:rsidR="00D621D0" w:rsidRPr="00D25EB4">
        <w:rPr>
          <w:rFonts w:ascii="Calibri" w:hAnsi="Calibri" w:cs="Calibri"/>
        </w:rPr>
        <w:t>reduce irrigation</w:t>
      </w:r>
    </w:p>
    <w:p w14:paraId="7F19FD9B" w14:textId="5E4BC45B" w:rsidR="00F13D5A" w:rsidRPr="00D25EB4" w:rsidRDefault="00D42ECC" w:rsidP="00F13D5A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>35</w:t>
      </w:r>
      <w:r w:rsidR="00D621D0" w:rsidRPr="00D25EB4">
        <w:rPr>
          <w:rFonts w:ascii="Calibri" w:hAnsi="Calibri" w:cs="Calibri"/>
        </w:rPr>
        <w:t xml:space="preserve">% </w:t>
      </w:r>
      <w:r w:rsidR="00D25EB4" w:rsidRPr="00D25EB4">
        <w:rPr>
          <w:rFonts w:ascii="Calibri" w:hAnsi="Calibri" w:cs="Calibri"/>
        </w:rPr>
        <w:t xml:space="preserve">intend to </w:t>
      </w:r>
      <w:r w:rsidR="00D621D0" w:rsidRPr="00D25EB4">
        <w:rPr>
          <w:rFonts w:ascii="Calibri" w:hAnsi="Calibri" w:cs="Calibri"/>
        </w:rPr>
        <w:t xml:space="preserve">select and install native plants  </w:t>
      </w:r>
    </w:p>
    <w:p w14:paraId="7FC0F3A7" w14:textId="7A29A516" w:rsidR="00D621D0" w:rsidRPr="00D25EB4" w:rsidRDefault="009103F8" w:rsidP="00F13D5A">
      <w:pPr>
        <w:pStyle w:val="ListParagraph"/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hAnsi="Calibri" w:cs="Calibri"/>
        </w:rPr>
        <w:t>36%</w:t>
      </w:r>
      <w:r w:rsidR="00755A06" w:rsidRPr="00D25EB4">
        <w:rPr>
          <w:rFonts w:ascii="Calibri" w:hAnsi="Calibri" w:cs="Calibri"/>
        </w:rPr>
        <w:t xml:space="preserve"> </w:t>
      </w:r>
      <w:r w:rsidR="00D621D0" w:rsidRPr="00D25EB4">
        <w:rPr>
          <w:rFonts w:ascii="Calibri" w:hAnsi="Calibri" w:cs="Calibri"/>
        </w:rPr>
        <w:t>already do these practices</w:t>
      </w:r>
    </w:p>
    <w:p w14:paraId="4D22188A" w14:textId="42AD01AC" w:rsidR="00880290" w:rsidRPr="006C7F8A" w:rsidRDefault="0025717D" w:rsidP="006C7F8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 w:rsidRPr="006C7F8A">
        <w:rPr>
          <w:rFonts w:ascii="Calibri" w:eastAsia="Times New Roman" w:hAnsi="Calibri" w:cs="Calibri"/>
          <w:color w:val="0E101A"/>
          <w:kern w:val="0"/>
          <w14:ligatures w14:val="none"/>
        </w:rPr>
        <w:t>In 2024, o</w:t>
      </w:r>
      <w:r w:rsidR="009E24B1" w:rsidRPr="006C7F8A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ne developer adopted a master-managed landscape plan using the methods </w:t>
      </w:r>
      <w:r w:rsidR="00630BE1" w:rsidRPr="006C7F8A">
        <w:rPr>
          <w:rFonts w:ascii="Calibri" w:eastAsia="Times New Roman" w:hAnsi="Calibri" w:cs="Calibri"/>
          <w:color w:val="0E101A"/>
          <w:kern w:val="0"/>
          <w14:ligatures w14:val="none"/>
        </w:rPr>
        <w:t>taught</w:t>
      </w:r>
      <w:r w:rsidR="009E24B1" w:rsidRPr="006C7F8A">
        <w:rPr>
          <w:rFonts w:ascii="Calibri" w:eastAsia="Times New Roman" w:hAnsi="Calibri" w:cs="Calibri"/>
          <w:color w:val="0E101A"/>
          <w:kern w:val="0"/>
          <w14:ligatures w14:val="none"/>
        </w:rPr>
        <w:t>.</w:t>
      </w:r>
      <w:r w:rsidR="00AB1636" w:rsidRPr="006C7F8A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The </w:t>
      </w:r>
      <w:r w:rsidR="00EE46B0" w:rsidRPr="006C7F8A">
        <w:rPr>
          <w:rFonts w:ascii="Calibri" w:eastAsia="Times New Roman" w:hAnsi="Calibri" w:cs="Calibri"/>
          <w:color w:val="0E101A"/>
          <w:kern w:val="0"/>
          <w14:ligatures w14:val="none"/>
        </w:rPr>
        <w:t>build-out</w:t>
      </w:r>
      <w:r w:rsidR="00AB1636" w:rsidRPr="006C7F8A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for this community is estimated at 33,000-37,000 homes</w:t>
      </w:r>
      <w:r w:rsidR="006635D8" w:rsidRPr="006C7F8A">
        <w:rPr>
          <w:rFonts w:ascii="Calibri" w:eastAsia="Times New Roman" w:hAnsi="Calibri" w:cs="Calibri"/>
          <w:color w:val="0E101A"/>
          <w:kern w:val="0"/>
          <w14:ligatures w14:val="none"/>
        </w:rPr>
        <w:t>.</w:t>
      </w:r>
      <w:r w:rsidR="009E24B1" w:rsidRPr="006C7F8A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A developer in Nassau County is </w:t>
      </w:r>
      <w:r w:rsidR="00EE46B0" w:rsidRPr="006C7F8A">
        <w:rPr>
          <w:rFonts w:ascii="Calibri" w:eastAsia="Times New Roman" w:hAnsi="Calibri" w:cs="Calibri"/>
          <w:color w:val="0E101A"/>
          <w:kern w:val="0"/>
          <w14:ligatures w14:val="none"/>
        </w:rPr>
        <w:t>working towards</w:t>
      </w:r>
      <w:r w:rsidR="009E24B1" w:rsidRPr="006C7F8A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the adoption of similar practices, and Lake and Seminole County Commissioners are considering incorporating these approaches in their landscaping codes.</w:t>
      </w:r>
    </w:p>
    <w:p w14:paraId="6390C37A" w14:textId="77777777" w:rsidR="00880290" w:rsidRPr="00701123" w:rsidRDefault="00880290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</w:p>
    <w:p w14:paraId="38AF5CC3" w14:textId="00F5580F" w:rsidR="00F547F9" w:rsidRPr="00701123" w:rsidRDefault="008D701D" w:rsidP="00F547F9">
      <w:pPr>
        <w:spacing w:after="0" w:line="240" w:lineRule="auto"/>
        <w:rPr>
          <w:rFonts w:ascii="Calibri" w:eastAsia="Times New Roman" w:hAnsi="Calibri" w:cs="Calibri"/>
          <w:b/>
          <w:bCs/>
          <w:color w:val="0E101A"/>
          <w:kern w:val="0"/>
          <w14:ligatures w14:val="none"/>
        </w:rPr>
      </w:pPr>
      <w:r w:rsidRPr="00701123">
        <w:rPr>
          <w:rFonts w:ascii="Calibri" w:eastAsia="Times New Roman" w:hAnsi="Calibri" w:cs="Calibri"/>
          <w:b/>
          <w:bCs/>
          <w:color w:val="0E101A"/>
          <w:kern w:val="0"/>
          <w14:ligatures w14:val="none"/>
        </w:rPr>
        <w:t>Impacts</w:t>
      </w:r>
    </w:p>
    <w:p w14:paraId="507A6FC4" w14:textId="206DAD90" w:rsidR="00444B34" w:rsidRDefault="009E24B1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>For the next phase of 300 homes</w:t>
      </w:r>
      <w:r w:rsidR="00F547F9"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</w:t>
      </w:r>
      <w:r w:rsidR="003C4FE6"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being built by the </w:t>
      </w:r>
      <w:r w:rsidR="00BC5737">
        <w:rPr>
          <w:rFonts w:ascii="Calibri" w:eastAsia="Times New Roman" w:hAnsi="Calibri" w:cs="Calibri"/>
          <w:color w:val="0E101A"/>
          <w:kern w:val="0"/>
          <w14:ligatures w14:val="none"/>
        </w:rPr>
        <w:t>master-planned</w:t>
      </w:r>
      <w:r w:rsidR="003C4FE6"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community</w:t>
      </w: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, native plant-dominated landscapes are being installed along with compost amendments. </w:t>
      </w:r>
    </w:p>
    <w:p w14:paraId="23C12A3B" w14:textId="77777777" w:rsidR="00444B34" w:rsidRDefault="00444B34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</w:p>
    <w:p w14:paraId="5014ADE5" w14:textId="43066034" w:rsidR="009E24B1" w:rsidRPr="00701123" w:rsidRDefault="009E24B1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>According to recommendations from the U</w:t>
      </w:r>
      <w:r w:rsidR="00266169">
        <w:rPr>
          <w:rFonts w:ascii="Calibri" w:eastAsia="Times New Roman" w:hAnsi="Calibri" w:cs="Calibri"/>
          <w:color w:val="0E101A"/>
          <w:kern w:val="0"/>
          <w14:ligatures w14:val="none"/>
        </w:rPr>
        <w:t>F</w:t>
      </w: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>, when compared to a conventional turfgrass-dominated landscape, these 300 alternative landscapes could annually save:</w:t>
      </w:r>
    </w:p>
    <w:p w14:paraId="446005D4" w14:textId="77777777" w:rsidR="009E24B1" w:rsidRPr="00701123" w:rsidRDefault="009E24B1" w:rsidP="009E24B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1.6 to 4.1 thousand kg of nitrogen </w:t>
      </w:r>
    </w:p>
    <w:p w14:paraId="32CC757A" w14:textId="77777777" w:rsidR="009E24B1" w:rsidRPr="00701123" w:rsidRDefault="009E24B1" w:rsidP="009E24B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270 kg of phosphorus in mineral fertilizers </w:t>
      </w:r>
    </w:p>
    <w:p w14:paraId="68C38C87" w14:textId="5270032E" w:rsidR="009E24B1" w:rsidRPr="00701123" w:rsidRDefault="009E24B1" w:rsidP="009E24B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151 to 553 thousand liters </w:t>
      </w:r>
      <w:r w:rsidR="006C7F8A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of water </w:t>
      </w: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>per day</w:t>
      </w:r>
    </w:p>
    <w:p w14:paraId="30F314A0" w14:textId="77777777" w:rsidR="009E24B1" w:rsidRPr="00701123" w:rsidRDefault="009E24B1" w:rsidP="009E24B1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42 thousand kg of CO2 emissions </w:t>
      </w:r>
    </w:p>
    <w:p w14:paraId="4BBAD17E" w14:textId="77777777" w:rsidR="009B515C" w:rsidRPr="00701123" w:rsidRDefault="009B515C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</w:p>
    <w:p w14:paraId="786B0215" w14:textId="598BEEAB" w:rsidR="009E24B1" w:rsidRDefault="00CC0B64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>
        <w:rPr>
          <w:rFonts w:ascii="Calibri" w:eastAsia="Times New Roman" w:hAnsi="Calibri" w:cs="Calibri"/>
          <w:color w:val="0E101A"/>
          <w:kern w:val="0"/>
          <w14:ligatures w14:val="none"/>
        </w:rPr>
        <w:t xml:space="preserve">In this master-planned </w:t>
      </w:r>
      <w:r w:rsidR="00444B34" w:rsidRPr="00701123">
        <w:rPr>
          <w:rFonts w:ascii="Calibri" w:eastAsia="Times New Roman" w:hAnsi="Calibri" w:cs="Calibri"/>
          <w:color w:val="0E101A"/>
          <w:kern w:val="0"/>
          <w14:ligatures w14:val="none"/>
        </w:rPr>
        <w:t>community</w:t>
      </w:r>
      <w:r>
        <w:rPr>
          <w:rFonts w:ascii="Calibri" w:eastAsia="Times New Roman" w:hAnsi="Calibri" w:cs="Calibri"/>
          <w:color w:val="0E101A"/>
          <w:kern w:val="0"/>
          <w14:ligatures w14:val="none"/>
        </w:rPr>
        <w:t>, a</w:t>
      </w:r>
      <w:r w:rsidR="00444B34"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water manager position is planned to further limit water consumption. </w:t>
      </w:r>
      <w:r w:rsidR="009E24B1"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The </w:t>
      </w:r>
      <w:r w:rsidR="0036084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local </w:t>
      </w:r>
      <w:r w:rsidR="009E24B1" w:rsidRPr="00701123">
        <w:rPr>
          <w:rFonts w:ascii="Calibri" w:eastAsia="Times New Roman" w:hAnsi="Calibri" w:cs="Calibri"/>
          <w:color w:val="0E101A"/>
          <w:kern w:val="0"/>
          <w14:ligatures w14:val="none"/>
        </w:rPr>
        <w:t>utility is considering incentives for the application of compost prior to landscape installation.</w:t>
      </w:r>
    </w:p>
    <w:p w14:paraId="504BDF46" w14:textId="77777777" w:rsidR="00D87F55" w:rsidRPr="00701123" w:rsidRDefault="00D87F55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</w:p>
    <w:p w14:paraId="3C3BD62B" w14:textId="33431327" w:rsidR="009E24B1" w:rsidRDefault="009E24B1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lastRenderedPageBreak/>
        <w:t xml:space="preserve">Furthermore, </w:t>
      </w:r>
      <w:r w:rsidR="00D66129">
        <w:rPr>
          <w:rFonts w:ascii="Calibri" w:eastAsia="Times New Roman" w:hAnsi="Calibri" w:cs="Calibri"/>
          <w:color w:val="0E101A"/>
          <w:kern w:val="0"/>
          <w14:ligatures w14:val="none"/>
        </w:rPr>
        <w:t>the</w:t>
      </w:r>
      <w:r w:rsidR="0027008C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extension agent and </w:t>
      </w:r>
      <w:r w:rsidR="006C7F8A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an </w:t>
      </w:r>
      <w:r w:rsidR="0027008C">
        <w:rPr>
          <w:rFonts w:ascii="Calibri" w:eastAsia="Times New Roman" w:hAnsi="Calibri" w:cs="Calibri"/>
          <w:color w:val="0E101A"/>
          <w:kern w:val="0"/>
          <w14:ligatures w14:val="none"/>
        </w:rPr>
        <w:t>extension specialist</w:t>
      </w:r>
      <w:r w:rsidR="00D66129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were invited to </w:t>
      </w:r>
      <w:r w:rsidR="0027008C">
        <w:rPr>
          <w:rFonts w:ascii="Calibri" w:eastAsia="Times New Roman" w:hAnsi="Calibri" w:cs="Calibri"/>
          <w:color w:val="0E101A"/>
          <w:kern w:val="0"/>
          <w14:ligatures w14:val="none"/>
        </w:rPr>
        <w:t>present the</w:t>
      </w:r>
      <w:r w:rsidR="00D66129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se efforts </w:t>
      </w:r>
      <w:r w:rsidR="00DB7E9A">
        <w:rPr>
          <w:rFonts w:ascii="Calibri" w:eastAsia="Times New Roman" w:hAnsi="Calibri" w:cs="Calibri"/>
          <w:color w:val="0E101A"/>
          <w:kern w:val="0"/>
          <w14:ligatures w14:val="none"/>
        </w:rPr>
        <w:t>t</w:t>
      </w:r>
      <w:r w:rsidR="0027008C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o the Urban Biodiversity </w:t>
      </w:r>
      <w:r w:rsidR="00E638BF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&amp; Design International Conference and the Extension Agent is scheduled to present at an </w:t>
      </w:r>
      <w:r w:rsidR="008B4476">
        <w:rPr>
          <w:rFonts w:ascii="Calibri" w:eastAsia="Times New Roman" w:hAnsi="Calibri" w:cs="Calibri"/>
          <w:color w:val="0E101A"/>
          <w:kern w:val="0"/>
          <w14:ligatures w14:val="none"/>
        </w:rPr>
        <w:t>international</w:t>
      </w:r>
      <w:r w:rsidR="00E638BF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</w:t>
      </w:r>
      <w:r w:rsidR="004149D9">
        <w:rPr>
          <w:rFonts w:ascii="Calibri" w:eastAsia="Times New Roman" w:hAnsi="Calibri" w:cs="Calibri"/>
          <w:color w:val="0E101A"/>
          <w:kern w:val="0"/>
          <w14:ligatures w14:val="none"/>
        </w:rPr>
        <w:t>c</w:t>
      </w:r>
      <w:r w:rsidR="00E638BF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onference for Extension educators in April 2025. </w:t>
      </w:r>
      <w:r w:rsidR="006C7F8A">
        <w:rPr>
          <w:rFonts w:ascii="Calibri" w:eastAsia="Times New Roman" w:hAnsi="Calibri" w:cs="Calibri"/>
          <w:color w:val="0E101A"/>
          <w:kern w:val="0"/>
          <w14:ligatures w14:val="none"/>
        </w:rPr>
        <w:t>The project has</w:t>
      </w: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been featured in newspaper and magazine articles, and in a televised news story broadcast to three metro markets</w:t>
      </w:r>
      <w:r w:rsidR="00F61893">
        <w:rPr>
          <w:rFonts w:ascii="Calibri" w:eastAsia="Times New Roman" w:hAnsi="Calibri" w:cs="Calibri"/>
          <w:color w:val="0E101A"/>
          <w:kern w:val="0"/>
          <w14:ligatures w14:val="none"/>
        </w:rPr>
        <w:t>, Orlando, Tampa, and Ocala,</w:t>
      </w:r>
      <w:r w:rsidRPr="00701123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with a total population of 5.9 million</w:t>
      </w:r>
      <w:r w:rsidR="00F61893">
        <w:rPr>
          <w:rFonts w:ascii="Calibri" w:eastAsia="Times New Roman" w:hAnsi="Calibri" w:cs="Calibri"/>
          <w:color w:val="0E101A"/>
          <w:kern w:val="0"/>
          <w14:ligatures w14:val="none"/>
        </w:rPr>
        <w:t>.</w:t>
      </w:r>
      <w:r w:rsidR="009C5B18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</w:t>
      </w:r>
    </w:p>
    <w:p w14:paraId="59B923F0" w14:textId="77777777" w:rsidR="00C25F93" w:rsidRDefault="00C25F93" w:rsidP="009E24B1">
      <w:pPr>
        <w:spacing w:after="0" w:line="240" w:lineRule="auto"/>
        <w:rPr>
          <w:rFonts w:ascii="Calibri" w:eastAsia="Times New Roman" w:hAnsi="Calibri" w:cs="Calibri"/>
          <w:b/>
          <w:bCs/>
          <w:color w:val="0E101A"/>
          <w:kern w:val="0"/>
          <w14:ligatures w14:val="none"/>
        </w:rPr>
      </w:pPr>
    </w:p>
    <w:p w14:paraId="40865E1F" w14:textId="4B7EC785" w:rsidR="00C25F93" w:rsidRPr="00C25F93" w:rsidRDefault="00C25F93" w:rsidP="009E24B1">
      <w:pPr>
        <w:spacing w:after="0" w:line="240" w:lineRule="auto"/>
        <w:rPr>
          <w:rFonts w:ascii="Calibri" w:eastAsia="Times New Roman" w:hAnsi="Calibri" w:cs="Calibri"/>
          <w:b/>
          <w:bCs/>
          <w:color w:val="0E101A"/>
          <w:kern w:val="0"/>
          <w14:ligatures w14:val="none"/>
        </w:rPr>
      </w:pPr>
      <w:r w:rsidRPr="00C25F93">
        <w:rPr>
          <w:rFonts w:ascii="Calibri" w:eastAsia="Times New Roman" w:hAnsi="Calibri" w:cs="Calibri"/>
          <w:b/>
          <w:bCs/>
          <w:color w:val="0E101A"/>
          <w:kern w:val="0"/>
          <w14:ligatures w14:val="none"/>
        </w:rPr>
        <w:t>Evaluation:</w:t>
      </w:r>
    </w:p>
    <w:p w14:paraId="6AD0036F" w14:textId="4FF35B0B" w:rsidR="00C25F93" w:rsidRPr="00D25EB4" w:rsidRDefault="00C25F93" w:rsidP="00C25F9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25EB4">
        <w:rPr>
          <w:rFonts w:ascii="Calibri" w:eastAsia="Times New Roman" w:hAnsi="Calibri" w:cs="Calibri"/>
          <w:kern w:val="0"/>
          <w14:ligatures w14:val="none"/>
        </w:rPr>
        <w:t xml:space="preserve">A Qualtrics survey using a Likert </w:t>
      </w:r>
      <w:r w:rsidR="00A933FE">
        <w:rPr>
          <w:rFonts w:ascii="Calibri" w:eastAsia="Times New Roman" w:hAnsi="Calibri" w:cs="Calibri"/>
          <w:kern w:val="0"/>
          <w14:ligatures w14:val="none"/>
        </w:rPr>
        <w:t xml:space="preserve">5-point </w:t>
      </w:r>
      <w:r w:rsidRPr="00D25EB4">
        <w:rPr>
          <w:rFonts w:ascii="Calibri" w:eastAsia="Times New Roman" w:hAnsi="Calibri" w:cs="Calibri"/>
          <w:kern w:val="0"/>
          <w14:ligatures w14:val="none"/>
        </w:rPr>
        <w:t xml:space="preserve">scale was administered to </w:t>
      </w:r>
      <w:r w:rsidR="00BC5737">
        <w:rPr>
          <w:rFonts w:ascii="Calibri" w:eastAsia="Times New Roman" w:hAnsi="Calibri" w:cs="Calibri"/>
          <w:kern w:val="0"/>
          <w14:ligatures w14:val="none"/>
        </w:rPr>
        <w:t>O</w:t>
      </w:r>
      <w:r w:rsidR="00A933FE">
        <w:rPr>
          <w:rFonts w:ascii="Calibri" w:eastAsia="Times New Roman" w:hAnsi="Calibri" w:cs="Calibri"/>
          <w:kern w:val="0"/>
          <w14:ligatures w14:val="none"/>
        </w:rPr>
        <w:t>CC</w:t>
      </w:r>
      <w:r w:rsidRPr="00D25EB4">
        <w:rPr>
          <w:rFonts w:ascii="Calibri" w:eastAsia="Times New Roman" w:hAnsi="Calibri" w:cs="Calibri"/>
          <w:kern w:val="0"/>
          <w14:ligatures w14:val="none"/>
        </w:rPr>
        <w:t xml:space="preserve"> attendees two- and six-weeks post-event</w:t>
      </w:r>
      <w:r w:rsidR="00334737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F5114A">
        <w:rPr>
          <w:rFonts w:ascii="Calibri" w:eastAsia="Times New Roman" w:hAnsi="Calibri" w:cs="Calibri"/>
          <w:kern w:val="0"/>
          <w14:ligatures w14:val="none"/>
        </w:rPr>
        <w:t>The survey r</w:t>
      </w:r>
      <w:r w:rsidR="00E61B6B">
        <w:rPr>
          <w:rFonts w:ascii="Calibri" w:eastAsia="Times New Roman" w:hAnsi="Calibri" w:cs="Calibri"/>
          <w:kern w:val="0"/>
          <w14:ligatures w14:val="none"/>
        </w:rPr>
        <w:t xml:space="preserve">esponse rate </w:t>
      </w:r>
      <w:r w:rsidR="00F5114A">
        <w:rPr>
          <w:rFonts w:ascii="Calibri" w:eastAsia="Times New Roman" w:hAnsi="Calibri" w:cs="Calibri"/>
          <w:kern w:val="0"/>
          <w14:ligatures w14:val="none"/>
        </w:rPr>
        <w:t>was</w:t>
      </w:r>
      <w:r w:rsidR="004F2840">
        <w:rPr>
          <w:rFonts w:ascii="Calibri" w:eastAsia="Times New Roman" w:hAnsi="Calibri" w:cs="Calibri"/>
          <w:kern w:val="0"/>
          <w14:ligatures w14:val="none"/>
        </w:rPr>
        <w:t xml:space="preserve"> 31%</w:t>
      </w:r>
      <w:r w:rsidR="00D867FC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4F2840">
        <w:rPr>
          <w:rFonts w:ascii="Calibri" w:eastAsia="Times New Roman" w:hAnsi="Calibri" w:cs="Calibri"/>
          <w:kern w:val="0"/>
          <w14:ligatures w14:val="none"/>
        </w:rPr>
        <w:t>119 of 380 participants.</w:t>
      </w:r>
    </w:p>
    <w:p w14:paraId="4920B88D" w14:textId="3EBC82AB" w:rsidR="00C25F93" w:rsidRDefault="00BC5737" w:rsidP="00C25F9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Our team</w:t>
      </w:r>
      <w:r w:rsidR="00C25F93" w:rsidRPr="00D25EB4">
        <w:rPr>
          <w:rFonts w:ascii="Calibri" w:eastAsia="Times New Roman" w:hAnsi="Calibri" w:cs="Calibri"/>
          <w:kern w:val="0"/>
          <w14:ligatures w14:val="none"/>
        </w:rPr>
        <w:t xml:space="preserve"> conducted follow-up conversations</w:t>
      </w:r>
      <w:r w:rsidR="00ED5154">
        <w:rPr>
          <w:rFonts w:ascii="Calibri" w:eastAsia="Times New Roman" w:hAnsi="Calibri" w:cs="Calibri"/>
          <w:kern w:val="0"/>
          <w14:ligatures w14:val="none"/>
        </w:rPr>
        <w:t xml:space="preserve"> via phone, in-person, and </w:t>
      </w:r>
      <w:r w:rsidR="00462838">
        <w:rPr>
          <w:rFonts w:ascii="Calibri" w:eastAsia="Times New Roman" w:hAnsi="Calibri" w:cs="Calibri"/>
          <w:kern w:val="0"/>
          <w14:ligatures w14:val="none"/>
        </w:rPr>
        <w:t xml:space="preserve">in </w:t>
      </w:r>
      <w:r w:rsidR="00ED5154">
        <w:rPr>
          <w:rFonts w:ascii="Calibri" w:eastAsia="Times New Roman" w:hAnsi="Calibri" w:cs="Calibri"/>
          <w:kern w:val="0"/>
          <w14:ligatures w14:val="none"/>
        </w:rPr>
        <w:t>on</w:t>
      </w:r>
      <w:r w:rsidR="00402072">
        <w:rPr>
          <w:rFonts w:ascii="Calibri" w:eastAsia="Times New Roman" w:hAnsi="Calibri" w:cs="Calibri"/>
          <w:kern w:val="0"/>
          <w14:ligatures w14:val="none"/>
        </w:rPr>
        <w:t>line</w:t>
      </w:r>
      <w:r w:rsidR="00462838">
        <w:rPr>
          <w:rFonts w:ascii="Calibri" w:eastAsia="Times New Roman" w:hAnsi="Calibri" w:cs="Calibri"/>
          <w:kern w:val="0"/>
          <w14:ligatures w14:val="none"/>
        </w:rPr>
        <w:t xml:space="preserve"> meetings </w:t>
      </w:r>
      <w:r w:rsidR="00C25F93" w:rsidRPr="00D25EB4">
        <w:rPr>
          <w:rFonts w:ascii="Calibri" w:eastAsia="Times New Roman" w:hAnsi="Calibri" w:cs="Calibri"/>
          <w:kern w:val="0"/>
          <w14:ligatures w14:val="none"/>
        </w:rPr>
        <w:t>with interested developers</w:t>
      </w:r>
      <w:r w:rsidR="00C25F93">
        <w:rPr>
          <w:rFonts w:ascii="Calibri" w:eastAsia="Times New Roman" w:hAnsi="Calibri" w:cs="Calibri"/>
          <w:kern w:val="0"/>
          <w14:ligatures w14:val="none"/>
        </w:rPr>
        <w:t xml:space="preserve">, municipalities, and </w:t>
      </w:r>
      <w:r w:rsidR="00E61B6B">
        <w:rPr>
          <w:rFonts w:ascii="Calibri" w:eastAsia="Times New Roman" w:hAnsi="Calibri" w:cs="Calibri"/>
          <w:kern w:val="0"/>
          <w14:ligatures w14:val="none"/>
        </w:rPr>
        <w:t xml:space="preserve">green industry </w:t>
      </w:r>
      <w:r>
        <w:rPr>
          <w:rFonts w:ascii="Calibri" w:eastAsia="Times New Roman" w:hAnsi="Calibri" w:cs="Calibri"/>
          <w:kern w:val="0"/>
          <w14:ligatures w14:val="none"/>
        </w:rPr>
        <w:t>professionals</w:t>
      </w:r>
      <w:r w:rsidR="00C25F93" w:rsidRPr="00D25EB4"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post-event</w:t>
      </w:r>
      <w:r w:rsidR="008972A8">
        <w:rPr>
          <w:rFonts w:ascii="Calibri" w:eastAsia="Times New Roman" w:hAnsi="Calibri" w:cs="Calibri"/>
          <w:kern w:val="0"/>
          <w14:ligatures w14:val="none"/>
        </w:rPr>
        <w:t>. C</w:t>
      </w:r>
      <w:r w:rsidR="008333E1">
        <w:rPr>
          <w:rFonts w:ascii="Calibri" w:eastAsia="Times New Roman" w:hAnsi="Calibri" w:cs="Calibri"/>
          <w:kern w:val="0"/>
          <w14:ligatures w14:val="none"/>
        </w:rPr>
        <w:t xml:space="preserve">ommunication </w:t>
      </w:r>
      <w:r>
        <w:rPr>
          <w:rFonts w:ascii="Calibri" w:eastAsia="Times New Roman" w:hAnsi="Calibri" w:cs="Calibri"/>
          <w:kern w:val="0"/>
          <w14:ligatures w14:val="none"/>
        </w:rPr>
        <w:t xml:space="preserve">efforts are </w:t>
      </w:r>
      <w:r w:rsidR="00E61B6B">
        <w:rPr>
          <w:rFonts w:ascii="Calibri" w:eastAsia="Times New Roman" w:hAnsi="Calibri" w:cs="Calibri"/>
          <w:kern w:val="0"/>
          <w14:ligatures w14:val="none"/>
        </w:rPr>
        <w:t>ongoing</w:t>
      </w:r>
      <w:r w:rsidR="00402072">
        <w:rPr>
          <w:rFonts w:ascii="Calibri" w:eastAsia="Times New Roman" w:hAnsi="Calibri" w:cs="Calibri"/>
          <w:kern w:val="0"/>
          <w14:ligatures w14:val="none"/>
        </w:rPr>
        <w:t>.</w:t>
      </w:r>
    </w:p>
    <w:p w14:paraId="47CCC5E4" w14:textId="1311A3E8" w:rsidR="002F7191" w:rsidRPr="00D25EB4" w:rsidRDefault="002F7191" w:rsidP="00C25F9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Out of the </w:t>
      </w:r>
      <w:r w:rsidR="008972A8">
        <w:rPr>
          <w:rFonts w:ascii="Calibri" w:eastAsia="Times New Roman" w:hAnsi="Calibri" w:cs="Calibri"/>
          <w:kern w:val="0"/>
          <w14:ligatures w14:val="none"/>
        </w:rPr>
        <w:t>presentations</w:t>
      </w:r>
      <w:r>
        <w:rPr>
          <w:rFonts w:ascii="Calibri" w:eastAsia="Times New Roman" w:hAnsi="Calibri" w:cs="Calibri"/>
          <w:kern w:val="0"/>
          <w14:ligatures w14:val="none"/>
        </w:rPr>
        <w:t xml:space="preserve"> given from 2022 - 202</w:t>
      </w:r>
      <w:r w:rsidR="008B6DBC">
        <w:rPr>
          <w:rFonts w:ascii="Calibri" w:eastAsia="Times New Roman" w:hAnsi="Calibri" w:cs="Calibri"/>
          <w:kern w:val="0"/>
          <w14:ligatures w14:val="none"/>
        </w:rPr>
        <w:t>4</w:t>
      </w:r>
      <w:r>
        <w:rPr>
          <w:rFonts w:ascii="Calibri" w:eastAsia="Times New Roman" w:hAnsi="Calibri" w:cs="Calibri"/>
          <w:kern w:val="0"/>
          <w14:ligatures w14:val="none"/>
        </w:rPr>
        <w:t xml:space="preserve"> to different</w:t>
      </w:r>
      <w:r w:rsidR="008972A8">
        <w:rPr>
          <w:rFonts w:ascii="Calibri" w:eastAsia="Times New Roman" w:hAnsi="Calibri" w:cs="Calibri"/>
          <w:kern w:val="0"/>
          <w14:ligatures w14:val="none"/>
        </w:rPr>
        <w:t xml:space="preserve"> audiences of </w:t>
      </w:r>
      <w:r w:rsidR="00A1157E">
        <w:rPr>
          <w:rFonts w:ascii="Calibri" w:eastAsia="Times New Roman" w:hAnsi="Calibri" w:cs="Calibri"/>
          <w:kern w:val="0"/>
          <w14:ligatures w14:val="none"/>
        </w:rPr>
        <w:t>decision</w:t>
      </w:r>
      <w:r>
        <w:rPr>
          <w:rFonts w:ascii="Calibri" w:eastAsia="Times New Roman" w:hAnsi="Calibri" w:cs="Calibri"/>
          <w:kern w:val="0"/>
          <w14:ligatures w14:val="none"/>
        </w:rPr>
        <w:t>-makers, we only survey</w:t>
      </w:r>
      <w:r w:rsidR="008C7667">
        <w:rPr>
          <w:rFonts w:ascii="Calibri" w:eastAsia="Times New Roman" w:hAnsi="Calibri" w:cs="Calibri"/>
          <w:kern w:val="0"/>
          <w14:ligatures w14:val="none"/>
        </w:rPr>
        <w:t>ed</w:t>
      </w:r>
      <w:r>
        <w:rPr>
          <w:rFonts w:ascii="Calibri" w:eastAsia="Times New Roman" w:hAnsi="Calibri" w:cs="Calibri"/>
          <w:kern w:val="0"/>
          <w14:ligatures w14:val="none"/>
        </w:rPr>
        <w:t xml:space="preserve"> the attendees of the O</w:t>
      </w:r>
      <w:r w:rsidR="008972A8">
        <w:rPr>
          <w:rFonts w:ascii="Calibri" w:eastAsia="Times New Roman" w:hAnsi="Calibri" w:cs="Calibri"/>
          <w:kern w:val="0"/>
          <w14:ligatures w14:val="none"/>
        </w:rPr>
        <w:t>CC</w:t>
      </w:r>
      <w:r>
        <w:rPr>
          <w:rFonts w:ascii="Calibri" w:eastAsia="Times New Roman" w:hAnsi="Calibri" w:cs="Calibri"/>
          <w:kern w:val="0"/>
          <w14:ligatures w14:val="none"/>
        </w:rPr>
        <w:t>. Our</w:t>
      </w:r>
      <w:r w:rsidR="008333E1">
        <w:rPr>
          <w:rFonts w:ascii="Calibri" w:eastAsia="Times New Roman" w:hAnsi="Calibri" w:cs="Calibri"/>
          <w:kern w:val="0"/>
          <w14:ligatures w14:val="none"/>
        </w:rPr>
        <w:t xml:space="preserve"> educational</w:t>
      </w:r>
      <w:r>
        <w:rPr>
          <w:rFonts w:ascii="Calibri" w:eastAsia="Times New Roman" w:hAnsi="Calibri" w:cs="Calibri"/>
          <w:kern w:val="0"/>
          <w14:ligatures w14:val="none"/>
        </w:rPr>
        <w:t xml:space="preserve"> programs have been presented to fast-paced audiences where time is exceptionally valuable. As a result, our team believed that administering a survey was not a feasible expectation </w:t>
      </w:r>
      <w:r w:rsidR="008C7667">
        <w:rPr>
          <w:rFonts w:ascii="Calibri" w:eastAsia="Times New Roman" w:hAnsi="Calibri" w:cs="Calibri"/>
          <w:kern w:val="0"/>
          <w14:ligatures w14:val="none"/>
        </w:rPr>
        <w:t>for some</w:t>
      </w:r>
      <w:r>
        <w:rPr>
          <w:rFonts w:ascii="Calibri" w:eastAsia="Times New Roman" w:hAnsi="Calibri" w:cs="Calibri"/>
          <w:kern w:val="0"/>
          <w14:ligatures w14:val="none"/>
        </w:rPr>
        <w:t xml:space="preserve"> audiences </w:t>
      </w:r>
      <w:r w:rsidR="004E7EF9">
        <w:rPr>
          <w:rFonts w:ascii="Calibri" w:eastAsia="Times New Roman" w:hAnsi="Calibri" w:cs="Calibri"/>
          <w:kern w:val="0"/>
          <w14:ligatures w14:val="none"/>
        </w:rPr>
        <w:t xml:space="preserve">under </w:t>
      </w:r>
      <w:r>
        <w:rPr>
          <w:rFonts w:ascii="Calibri" w:eastAsia="Times New Roman" w:hAnsi="Calibri" w:cs="Calibri"/>
          <w:kern w:val="0"/>
          <w14:ligatures w14:val="none"/>
        </w:rPr>
        <w:t xml:space="preserve">the limited time we had for presentations. </w:t>
      </w:r>
    </w:p>
    <w:p w14:paraId="2AE33E0B" w14:textId="77777777" w:rsidR="00C25F93" w:rsidRPr="00701123" w:rsidRDefault="00C25F93" w:rsidP="009E24B1">
      <w:pPr>
        <w:spacing w:after="0" w:line="240" w:lineRule="auto"/>
        <w:rPr>
          <w:rFonts w:ascii="Calibri" w:eastAsia="Times New Roman" w:hAnsi="Calibri" w:cs="Calibri"/>
          <w:color w:val="0E101A"/>
          <w:kern w:val="0"/>
          <w14:ligatures w14:val="none"/>
        </w:rPr>
      </w:pPr>
    </w:p>
    <w:sectPr w:rsidR="00C25F93" w:rsidRPr="0070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6D03"/>
    <w:multiLevelType w:val="hybridMultilevel"/>
    <w:tmpl w:val="91003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E194B"/>
    <w:multiLevelType w:val="hybridMultilevel"/>
    <w:tmpl w:val="0416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5FCC"/>
    <w:multiLevelType w:val="multilevel"/>
    <w:tmpl w:val="D46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D42D7"/>
    <w:multiLevelType w:val="multilevel"/>
    <w:tmpl w:val="E188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50BDD"/>
    <w:multiLevelType w:val="hybridMultilevel"/>
    <w:tmpl w:val="B0B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1DB7"/>
    <w:multiLevelType w:val="multilevel"/>
    <w:tmpl w:val="670E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53F83"/>
    <w:multiLevelType w:val="hybridMultilevel"/>
    <w:tmpl w:val="1B6E8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41303C"/>
    <w:multiLevelType w:val="multilevel"/>
    <w:tmpl w:val="6110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95287"/>
    <w:multiLevelType w:val="multilevel"/>
    <w:tmpl w:val="86B4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94E88"/>
    <w:multiLevelType w:val="hybridMultilevel"/>
    <w:tmpl w:val="1AEA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27D65"/>
    <w:multiLevelType w:val="hybridMultilevel"/>
    <w:tmpl w:val="D1BE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B710B"/>
    <w:multiLevelType w:val="multilevel"/>
    <w:tmpl w:val="183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527658">
    <w:abstractNumId w:val="8"/>
  </w:num>
  <w:num w:numId="2" w16cid:durableId="1513254946">
    <w:abstractNumId w:val="11"/>
  </w:num>
  <w:num w:numId="3" w16cid:durableId="1233270017">
    <w:abstractNumId w:val="3"/>
  </w:num>
  <w:num w:numId="4" w16cid:durableId="1288582442">
    <w:abstractNumId w:val="2"/>
  </w:num>
  <w:num w:numId="5" w16cid:durableId="1602832903">
    <w:abstractNumId w:val="5"/>
  </w:num>
  <w:num w:numId="6" w16cid:durableId="1751389764">
    <w:abstractNumId w:val="9"/>
  </w:num>
  <w:num w:numId="7" w16cid:durableId="1321957584">
    <w:abstractNumId w:val="0"/>
  </w:num>
  <w:num w:numId="8" w16cid:durableId="1450389792">
    <w:abstractNumId w:val="10"/>
  </w:num>
  <w:num w:numId="9" w16cid:durableId="1090464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862016">
    <w:abstractNumId w:val="4"/>
  </w:num>
  <w:num w:numId="11" w16cid:durableId="1206403116">
    <w:abstractNumId w:val="6"/>
  </w:num>
  <w:num w:numId="12" w16cid:durableId="141381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B1"/>
    <w:rsid w:val="00001869"/>
    <w:rsid w:val="00003473"/>
    <w:rsid w:val="00030345"/>
    <w:rsid w:val="00031D5E"/>
    <w:rsid w:val="00042B3F"/>
    <w:rsid w:val="000450FC"/>
    <w:rsid w:val="00045F1A"/>
    <w:rsid w:val="00051388"/>
    <w:rsid w:val="00052045"/>
    <w:rsid w:val="00055958"/>
    <w:rsid w:val="00063420"/>
    <w:rsid w:val="000721D1"/>
    <w:rsid w:val="00080458"/>
    <w:rsid w:val="0008087F"/>
    <w:rsid w:val="0008385B"/>
    <w:rsid w:val="00092EB6"/>
    <w:rsid w:val="000A4877"/>
    <w:rsid w:val="000C4855"/>
    <w:rsid w:val="000C6F37"/>
    <w:rsid w:val="000D1C8A"/>
    <w:rsid w:val="000D5B75"/>
    <w:rsid w:val="000D690D"/>
    <w:rsid w:val="000D6B38"/>
    <w:rsid w:val="000E3461"/>
    <w:rsid w:val="000F7AC9"/>
    <w:rsid w:val="0011393E"/>
    <w:rsid w:val="001240AA"/>
    <w:rsid w:val="00153805"/>
    <w:rsid w:val="0017425E"/>
    <w:rsid w:val="001778E9"/>
    <w:rsid w:val="0018145B"/>
    <w:rsid w:val="0019528D"/>
    <w:rsid w:val="001C7371"/>
    <w:rsid w:val="001D1103"/>
    <w:rsid w:val="00205D8C"/>
    <w:rsid w:val="00237D18"/>
    <w:rsid w:val="0024253A"/>
    <w:rsid w:val="002453A8"/>
    <w:rsid w:val="0024578C"/>
    <w:rsid w:val="002570BD"/>
    <w:rsid w:val="0025717D"/>
    <w:rsid w:val="00266169"/>
    <w:rsid w:val="00267CAD"/>
    <w:rsid w:val="0027008C"/>
    <w:rsid w:val="00270394"/>
    <w:rsid w:val="002B0C60"/>
    <w:rsid w:val="002B247B"/>
    <w:rsid w:val="002B4896"/>
    <w:rsid w:val="002B7E5A"/>
    <w:rsid w:val="002C02D4"/>
    <w:rsid w:val="002D4093"/>
    <w:rsid w:val="002F7191"/>
    <w:rsid w:val="00334737"/>
    <w:rsid w:val="00342BF7"/>
    <w:rsid w:val="003443C2"/>
    <w:rsid w:val="0034475E"/>
    <w:rsid w:val="003461B7"/>
    <w:rsid w:val="00347824"/>
    <w:rsid w:val="00351313"/>
    <w:rsid w:val="0035704A"/>
    <w:rsid w:val="00360847"/>
    <w:rsid w:val="0037307B"/>
    <w:rsid w:val="00392724"/>
    <w:rsid w:val="003A0855"/>
    <w:rsid w:val="003A1A3D"/>
    <w:rsid w:val="003C09C5"/>
    <w:rsid w:val="003C1042"/>
    <w:rsid w:val="003C2913"/>
    <w:rsid w:val="003C4FE6"/>
    <w:rsid w:val="003F1B24"/>
    <w:rsid w:val="00402072"/>
    <w:rsid w:val="004149D9"/>
    <w:rsid w:val="00423EFF"/>
    <w:rsid w:val="00426360"/>
    <w:rsid w:val="00440480"/>
    <w:rsid w:val="00444B34"/>
    <w:rsid w:val="00446F97"/>
    <w:rsid w:val="00447887"/>
    <w:rsid w:val="00462838"/>
    <w:rsid w:val="00464DB2"/>
    <w:rsid w:val="00471ADF"/>
    <w:rsid w:val="00492110"/>
    <w:rsid w:val="004933BE"/>
    <w:rsid w:val="004B209E"/>
    <w:rsid w:val="004B59E9"/>
    <w:rsid w:val="004D255F"/>
    <w:rsid w:val="004D37E8"/>
    <w:rsid w:val="004E5079"/>
    <w:rsid w:val="004E7EF9"/>
    <w:rsid w:val="004F2840"/>
    <w:rsid w:val="0050497D"/>
    <w:rsid w:val="00506D63"/>
    <w:rsid w:val="00510D97"/>
    <w:rsid w:val="00517176"/>
    <w:rsid w:val="00524BFB"/>
    <w:rsid w:val="00524EA8"/>
    <w:rsid w:val="00543179"/>
    <w:rsid w:val="005640EE"/>
    <w:rsid w:val="00566C6F"/>
    <w:rsid w:val="00571A58"/>
    <w:rsid w:val="00573AC5"/>
    <w:rsid w:val="005752AD"/>
    <w:rsid w:val="00587BD3"/>
    <w:rsid w:val="005A5B4A"/>
    <w:rsid w:val="005C742E"/>
    <w:rsid w:val="005D65D0"/>
    <w:rsid w:val="005E66DE"/>
    <w:rsid w:val="005E7B29"/>
    <w:rsid w:val="005F139B"/>
    <w:rsid w:val="005F57B3"/>
    <w:rsid w:val="00612B51"/>
    <w:rsid w:val="00630BE1"/>
    <w:rsid w:val="00636535"/>
    <w:rsid w:val="006521C4"/>
    <w:rsid w:val="006635D8"/>
    <w:rsid w:val="00675723"/>
    <w:rsid w:val="00692FE8"/>
    <w:rsid w:val="006A0AAF"/>
    <w:rsid w:val="006A7F70"/>
    <w:rsid w:val="006B07CC"/>
    <w:rsid w:val="006B2F60"/>
    <w:rsid w:val="006B691C"/>
    <w:rsid w:val="006C7F8A"/>
    <w:rsid w:val="006D49C5"/>
    <w:rsid w:val="006E01CC"/>
    <w:rsid w:val="006F1471"/>
    <w:rsid w:val="006F2E11"/>
    <w:rsid w:val="00700F1E"/>
    <w:rsid w:val="00701123"/>
    <w:rsid w:val="00710E3C"/>
    <w:rsid w:val="0071538B"/>
    <w:rsid w:val="00720113"/>
    <w:rsid w:val="00721C10"/>
    <w:rsid w:val="007249A5"/>
    <w:rsid w:val="00725A3F"/>
    <w:rsid w:val="00731F0D"/>
    <w:rsid w:val="00755A06"/>
    <w:rsid w:val="00774D63"/>
    <w:rsid w:val="007776C2"/>
    <w:rsid w:val="00793211"/>
    <w:rsid w:val="0079679F"/>
    <w:rsid w:val="007978B6"/>
    <w:rsid w:val="007A6EE0"/>
    <w:rsid w:val="007C67F5"/>
    <w:rsid w:val="007C76CA"/>
    <w:rsid w:val="007E1892"/>
    <w:rsid w:val="007F2A73"/>
    <w:rsid w:val="007F5093"/>
    <w:rsid w:val="0081200E"/>
    <w:rsid w:val="00812BA4"/>
    <w:rsid w:val="00813DF9"/>
    <w:rsid w:val="00822DEF"/>
    <w:rsid w:val="0082493A"/>
    <w:rsid w:val="008333E1"/>
    <w:rsid w:val="008341A2"/>
    <w:rsid w:val="008362DF"/>
    <w:rsid w:val="00857707"/>
    <w:rsid w:val="00857C33"/>
    <w:rsid w:val="00863D40"/>
    <w:rsid w:val="00880290"/>
    <w:rsid w:val="008847C1"/>
    <w:rsid w:val="00885EC5"/>
    <w:rsid w:val="008972A8"/>
    <w:rsid w:val="008B1225"/>
    <w:rsid w:val="008B4476"/>
    <w:rsid w:val="008B6DBC"/>
    <w:rsid w:val="008C7196"/>
    <w:rsid w:val="008C7667"/>
    <w:rsid w:val="008D701D"/>
    <w:rsid w:val="008E2D54"/>
    <w:rsid w:val="008F0817"/>
    <w:rsid w:val="009103F8"/>
    <w:rsid w:val="009172B3"/>
    <w:rsid w:val="0092297F"/>
    <w:rsid w:val="00923E50"/>
    <w:rsid w:val="0092494F"/>
    <w:rsid w:val="00932AD4"/>
    <w:rsid w:val="009344FD"/>
    <w:rsid w:val="00936D38"/>
    <w:rsid w:val="00940CE3"/>
    <w:rsid w:val="00941305"/>
    <w:rsid w:val="00941E31"/>
    <w:rsid w:val="00945434"/>
    <w:rsid w:val="00960C47"/>
    <w:rsid w:val="00965E90"/>
    <w:rsid w:val="00973299"/>
    <w:rsid w:val="00981065"/>
    <w:rsid w:val="00996B09"/>
    <w:rsid w:val="009975A6"/>
    <w:rsid w:val="009A7FFD"/>
    <w:rsid w:val="009B515C"/>
    <w:rsid w:val="009B7F39"/>
    <w:rsid w:val="009C5B18"/>
    <w:rsid w:val="009D334E"/>
    <w:rsid w:val="009D4E29"/>
    <w:rsid w:val="009E2303"/>
    <w:rsid w:val="009E24B1"/>
    <w:rsid w:val="009E317F"/>
    <w:rsid w:val="009E589B"/>
    <w:rsid w:val="009E762A"/>
    <w:rsid w:val="00A024B8"/>
    <w:rsid w:val="00A04E21"/>
    <w:rsid w:val="00A10FAB"/>
    <w:rsid w:val="00A1157E"/>
    <w:rsid w:val="00A340FD"/>
    <w:rsid w:val="00A3575A"/>
    <w:rsid w:val="00A365F5"/>
    <w:rsid w:val="00A45E69"/>
    <w:rsid w:val="00A50832"/>
    <w:rsid w:val="00A54F1F"/>
    <w:rsid w:val="00A8193D"/>
    <w:rsid w:val="00A932D2"/>
    <w:rsid w:val="00A933FE"/>
    <w:rsid w:val="00A9537C"/>
    <w:rsid w:val="00AA1291"/>
    <w:rsid w:val="00AA32CF"/>
    <w:rsid w:val="00AB0ECB"/>
    <w:rsid w:val="00AB1636"/>
    <w:rsid w:val="00AB1AE5"/>
    <w:rsid w:val="00AB1DFF"/>
    <w:rsid w:val="00AC2AF4"/>
    <w:rsid w:val="00AC2B78"/>
    <w:rsid w:val="00B04933"/>
    <w:rsid w:val="00B059F8"/>
    <w:rsid w:val="00B0744D"/>
    <w:rsid w:val="00B12BB0"/>
    <w:rsid w:val="00B12BCC"/>
    <w:rsid w:val="00B20E87"/>
    <w:rsid w:val="00B30339"/>
    <w:rsid w:val="00B32279"/>
    <w:rsid w:val="00B73A6A"/>
    <w:rsid w:val="00B91B59"/>
    <w:rsid w:val="00B97476"/>
    <w:rsid w:val="00BA0EB1"/>
    <w:rsid w:val="00BC5737"/>
    <w:rsid w:val="00BD4ABE"/>
    <w:rsid w:val="00BD6E18"/>
    <w:rsid w:val="00BD72E2"/>
    <w:rsid w:val="00C211FC"/>
    <w:rsid w:val="00C21258"/>
    <w:rsid w:val="00C25F93"/>
    <w:rsid w:val="00C316DB"/>
    <w:rsid w:val="00C3302C"/>
    <w:rsid w:val="00C358D8"/>
    <w:rsid w:val="00C42203"/>
    <w:rsid w:val="00C430A2"/>
    <w:rsid w:val="00C43548"/>
    <w:rsid w:val="00C47C3F"/>
    <w:rsid w:val="00C7385B"/>
    <w:rsid w:val="00C80DED"/>
    <w:rsid w:val="00C87A0E"/>
    <w:rsid w:val="00C87EE2"/>
    <w:rsid w:val="00CA2AE2"/>
    <w:rsid w:val="00CC0B64"/>
    <w:rsid w:val="00CC5F02"/>
    <w:rsid w:val="00CC6DA4"/>
    <w:rsid w:val="00CD5497"/>
    <w:rsid w:val="00CD6417"/>
    <w:rsid w:val="00CD68D9"/>
    <w:rsid w:val="00CD7594"/>
    <w:rsid w:val="00CF39FB"/>
    <w:rsid w:val="00CF4E9B"/>
    <w:rsid w:val="00D006DF"/>
    <w:rsid w:val="00D1004C"/>
    <w:rsid w:val="00D25EB4"/>
    <w:rsid w:val="00D30211"/>
    <w:rsid w:val="00D3122A"/>
    <w:rsid w:val="00D42ECC"/>
    <w:rsid w:val="00D53ADB"/>
    <w:rsid w:val="00D5577B"/>
    <w:rsid w:val="00D61056"/>
    <w:rsid w:val="00D621D0"/>
    <w:rsid w:val="00D66129"/>
    <w:rsid w:val="00D867FC"/>
    <w:rsid w:val="00D87F55"/>
    <w:rsid w:val="00DA70B1"/>
    <w:rsid w:val="00DB7E9A"/>
    <w:rsid w:val="00DC6968"/>
    <w:rsid w:val="00DD5E6D"/>
    <w:rsid w:val="00DE2527"/>
    <w:rsid w:val="00DF107A"/>
    <w:rsid w:val="00DF7D05"/>
    <w:rsid w:val="00E12FF9"/>
    <w:rsid w:val="00E158EC"/>
    <w:rsid w:val="00E37675"/>
    <w:rsid w:val="00E4139F"/>
    <w:rsid w:val="00E61B6B"/>
    <w:rsid w:val="00E638BF"/>
    <w:rsid w:val="00E6637E"/>
    <w:rsid w:val="00E7235A"/>
    <w:rsid w:val="00E74874"/>
    <w:rsid w:val="00E758BF"/>
    <w:rsid w:val="00E7721F"/>
    <w:rsid w:val="00E85E92"/>
    <w:rsid w:val="00E8730B"/>
    <w:rsid w:val="00E91A30"/>
    <w:rsid w:val="00E95EB2"/>
    <w:rsid w:val="00EA7AA9"/>
    <w:rsid w:val="00EB04C1"/>
    <w:rsid w:val="00EB3744"/>
    <w:rsid w:val="00EC7AAD"/>
    <w:rsid w:val="00ED5154"/>
    <w:rsid w:val="00EE3EB1"/>
    <w:rsid w:val="00EE46B0"/>
    <w:rsid w:val="00EE5AD4"/>
    <w:rsid w:val="00EF1879"/>
    <w:rsid w:val="00EF48F2"/>
    <w:rsid w:val="00F1207A"/>
    <w:rsid w:val="00F13D5A"/>
    <w:rsid w:val="00F270B4"/>
    <w:rsid w:val="00F37CC4"/>
    <w:rsid w:val="00F444CE"/>
    <w:rsid w:val="00F5114A"/>
    <w:rsid w:val="00F543F9"/>
    <w:rsid w:val="00F546EC"/>
    <w:rsid w:val="00F547F9"/>
    <w:rsid w:val="00F56890"/>
    <w:rsid w:val="00F61893"/>
    <w:rsid w:val="00F65930"/>
    <w:rsid w:val="00F6615C"/>
    <w:rsid w:val="00F725CD"/>
    <w:rsid w:val="00F74818"/>
    <w:rsid w:val="00F77F62"/>
    <w:rsid w:val="00F818A9"/>
    <w:rsid w:val="00FB364C"/>
    <w:rsid w:val="00FB57B2"/>
    <w:rsid w:val="00FC4237"/>
    <w:rsid w:val="00FE4930"/>
    <w:rsid w:val="00FF4743"/>
    <w:rsid w:val="00FF7556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347B8"/>
  <w15:chartTrackingRefBased/>
  <w15:docId w15:val="{05569CA5-695B-4041-8125-14522B07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4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6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6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53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3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1217</Words>
  <Characters>7438</Characters>
  <Application>Microsoft Office Word</Application>
  <DocSecurity>0</DocSecurity>
  <Lines>130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- IFAS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Moffis,Brooke L</dc:creator>
  <cp:keywords/>
  <dc:description/>
  <cp:lastModifiedBy>Moffis,Brooke L</cp:lastModifiedBy>
  <cp:revision>8</cp:revision>
  <dcterms:created xsi:type="dcterms:W3CDTF">2025-03-13T23:23:00Z</dcterms:created>
  <dcterms:modified xsi:type="dcterms:W3CDTF">2025-03-14T00:31:00Z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694a1d063bfe70c5a0245ff6666029043f5bf1b0688878e608109c38cfbd517d</vt:lpwstr>
  </property>
</Properties>
</file>