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0BCB" w14:textId="77777777" w:rsidR="0028608B" w:rsidRDefault="0028608B" w:rsidP="0028608B">
      <w:pPr>
        <w:pStyle w:val="BasicParagraph"/>
        <w:jc w:val="center"/>
      </w:pPr>
      <w:r>
        <w:rPr>
          <w:rFonts w:ascii="Arial" w:hAnsi="Arial" w:cs="Arial"/>
          <w:b/>
          <w:noProof/>
        </w:rPr>
        <w:drawing>
          <wp:anchor distT="0" distB="0" distL="114300" distR="114300" simplePos="0" relativeHeight="251659264" behindDoc="0" locked="0" layoutInCell="1" allowOverlap="1" wp14:anchorId="68FEF0A9" wp14:editId="176368A0">
            <wp:simplePos x="0" y="0"/>
            <wp:positionH relativeFrom="column">
              <wp:posOffset>19050</wp:posOffset>
            </wp:positionH>
            <wp:positionV relativeFrom="page">
              <wp:posOffset>762000</wp:posOffset>
            </wp:positionV>
            <wp:extent cx="1219200" cy="12192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anchor>
        </w:drawing>
      </w:r>
      <w:r>
        <w:rPr>
          <w:rFonts w:ascii="Arial" w:hAnsi="Arial" w:cs="Arial"/>
          <w:b/>
          <w:bCs/>
          <w:sz w:val="28"/>
          <w:szCs w:val="28"/>
        </w:rPr>
        <w:t>JOURNAL OF THE NACAA</w:t>
      </w:r>
    </w:p>
    <w:p w14:paraId="3F3D257E" w14:textId="77777777" w:rsidR="0028608B" w:rsidRDefault="0028608B" w:rsidP="0028608B">
      <w:pPr>
        <w:pStyle w:val="BasicParagraph"/>
        <w:jc w:val="center"/>
        <w:rPr>
          <w:rFonts w:ascii="Arial" w:hAnsi="Arial" w:cs="Arial"/>
          <w:b/>
          <w:bCs/>
          <w:sz w:val="12"/>
          <w:szCs w:val="12"/>
        </w:rPr>
      </w:pPr>
    </w:p>
    <w:p w14:paraId="27D415D6" w14:textId="77777777" w:rsidR="0028608B" w:rsidRPr="003E44AA" w:rsidRDefault="0028608B" w:rsidP="0028608B">
      <w:pPr>
        <w:pStyle w:val="BasicParagraph"/>
        <w:spacing w:line="204" w:lineRule="auto"/>
        <w:jc w:val="center"/>
        <w:rPr>
          <w:rFonts w:ascii="Arial" w:hAnsi="Arial" w:cs="Arial"/>
          <w:sz w:val="14"/>
          <w:szCs w:val="14"/>
        </w:rPr>
      </w:pPr>
      <w:r w:rsidRPr="003E44AA">
        <w:rPr>
          <w:rFonts w:ascii="Arial" w:hAnsi="Arial" w:cs="Arial"/>
          <w:b/>
          <w:bCs/>
          <w:sz w:val="16"/>
          <w:szCs w:val="16"/>
        </w:rPr>
        <w:t>ISSN 2158-9459</w:t>
      </w:r>
    </w:p>
    <w:p w14:paraId="0E567C07" w14:textId="77777777" w:rsidR="0028608B" w:rsidRPr="003E44AA" w:rsidRDefault="0028608B" w:rsidP="0028608B">
      <w:pPr>
        <w:pStyle w:val="BasicParagraph"/>
        <w:spacing w:line="204" w:lineRule="auto"/>
        <w:jc w:val="center"/>
        <w:rPr>
          <w:rFonts w:ascii="Arial" w:hAnsi="Arial" w:cs="Arial"/>
          <w:b/>
          <w:bCs/>
          <w:sz w:val="14"/>
          <w:szCs w:val="14"/>
        </w:rPr>
      </w:pPr>
    </w:p>
    <w:p w14:paraId="26E0BE62" w14:textId="77777777" w:rsidR="0028608B" w:rsidRPr="003E44AA" w:rsidRDefault="0028608B" w:rsidP="0028608B">
      <w:pPr>
        <w:pStyle w:val="BasicParagraph"/>
        <w:spacing w:line="204" w:lineRule="auto"/>
        <w:jc w:val="center"/>
        <w:rPr>
          <w:rFonts w:ascii="Arial" w:hAnsi="Arial" w:cs="Arial"/>
          <w:b/>
          <w:bCs/>
          <w:sz w:val="14"/>
          <w:szCs w:val="14"/>
        </w:rPr>
      </w:pPr>
    </w:p>
    <w:p w14:paraId="16F48507" w14:textId="77777777" w:rsidR="0028608B" w:rsidRPr="003E44AA" w:rsidRDefault="0028608B" w:rsidP="0028608B">
      <w:pPr>
        <w:pStyle w:val="BasicParagraph"/>
        <w:spacing w:line="204" w:lineRule="auto"/>
        <w:jc w:val="center"/>
        <w:rPr>
          <w:rFonts w:ascii="Arial" w:hAnsi="Arial" w:cs="Arial"/>
          <w:sz w:val="14"/>
          <w:szCs w:val="14"/>
        </w:rPr>
      </w:pPr>
      <w:r w:rsidRPr="003E44AA">
        <w:rPr>
          <w:rFonts w:ascii="Arial" w:hAnsi="Arial" w:cs="Arial"/>
          <w:b/>
          <w:bCs/>
          <w:sz w:val="16"/>
          <w:szCs w:val="16"/>
        </w:rPr>
        <w:t xml:space="preserve">VOLUME 15, ISSUE 1 – </w:t>
      </w:r>
      <w:proofErr w:type="gramStart"/>
      <w:r w:rsidRPr="003E44AA">
        <w:rPr>
          <w:rFonts w:ascii="Arial" w:hAnsi="Arial" w:cs="Arial"/>
          <w:b/>
          <w:bCs/>
          <w:sz w:val="16"/>
          <w:szCs w:val="16"/>
        </w:rPr>
        <w:t>JUNE,</w:t>
      </w:r>
      <w:proofErr w:type="gramEnd"/>
      <w:r w:rsidRPr="003E44AA">
        <w:rPr>
          <w:rFonts w:ascii="Arial" w:hAnsi="Arial" w:cs="Arial"/>
          <w:b/>
          <w:bCs/>
          <w:sz w:val="16"/>
          <w:szCs w:val="16"/>
        </w:rPr>
        <w:t xml:space="preserve"> 2022</w:t>
      </w:r>
    </w:p>
    <w:p w14:paraId="3DA025B3" w14:textId="77777777" w:rsidR="0028608B" w:rsidRPr="003E44AA" w:rsidRDefault="0028608B" w:rsidP="0028608B">
      <w:pPr>
        <w:pStyle w:val="BasicParagraph"/>
        <w:spacing w:line="204" w:lineRule="auto"/>
        <w:jc w:val="center"/>
        <w:rPr>
          <w:rFonts w:ascii="Arial" w:hAnsi="Arial" w:cs="Arial"/>
          <w:sz w:val="14"/>
          <w:szCs w:val="14"/>
        </w:rPr>
      </w:pPr>
    </w:p>
    <w:p w14:paraId="43D31ACB" w14:textId="77777777" w:rsidR="0028608B" w:rsidRPr="003E44AA" w:rsidRDefault="0028608B" w:rsidP="0028608B">
      <w:pPr>
        <w:pStyle w:val="BasicParagraph"/>
        <w:spacing w:line="204" w:lineRule="auto"/>
        <w:jc w:val="center"/>
        <w:rPr>
          <w:rFonts w:ascii="Arial" w:hAnsi="Arial" w:cs="Arial"/>
          <w:sz w:val="16"/>
          <w:szCs w:val="16"/>
        </w:rPr>
      </w:pPr>
    </w:p>
    <w:p w14:paraId="14B7C4A0" w14:textId="77777777" w:rsidR="0028608B" w:rsidRPr="003E44AA" w:rsidRDefault="0028608B" w:rsidP="0028608B">
      <w:pPr>
        <w:pStyle w:val="BasicParagraph"/>
        <w:spacing w:line="204" w:lineRule="auto"/>
        <w:jc w:val="center"/>
        <w:rPr>
          <w:rFonts w:ascii="Arial" w:hAnsi="Arial" w:cs="Arial"/>
          <w:sz w:val="14"/>
          <w:szCs w:val="14"/>
        </w:rPr>
      </w:pPr>
      <w:r w:rsidRPr="003E44AA">
        <w:rPr>
          <w:rFonts w:ascii="Arial" w:hAnsi="Arial" w:cs="Arial"/>
          <w:sz w:val="16"/>
          <w:szCs w:val="16"/>
        </w:rPr>
        <w:t>Editor:  Donald A. Llewellyn</w:t>
      </w:r>
    </w:p>
    <w:p w14:paraId="0000002F" w14:textId="7A0EFB8F" w:rsidR="009E303A" w:rsidRDefault="009E303A">
      <w:pPr>
        <w:shd w:val="clear" w:color="auto" w:fill="FFFFFF"/>
        <w:spacing w:after="0" w:line="240" w:lineRule="auto"/>
        <w:rPr>
          <w:rFonts w:ascii="Helvetica" w:eastAsia="Times New Roman" w:hAnsi="Helvetica" w:cs="Times New Roman"/>
          <w:sz w:val="24"/>
          <w:szCs w:val="24"/>
          <w:highlight w:val="yellow"/>
        </w:rPr>
      </w:pPr>
    </w:p>
    <w:p w14:paraId="2BD59403" w14:textId="4B6B2B02" w:rsidR="0028608B" w:rsidRPr="0028608B" w:rsidRDefault="0028608B">
      <w:pPr>
        <w:shd w:val="clear" w:color="auto" w:fill="FFFFFF"/>
        <w:spacing w:after="0" w:line="240" w:lineRule="auto"/>
        <w:rPr>
          <w:rFonts w:ascii="Helvetica" w:eastAsia="Times New Roman" w:hAnsi="Helvetica" w:cs="Times New Roman"/>
          <w:highlight w:val="yellow"/>
        </w:rPr>
      </w:pPr>
      <w:proofErr w:type="spellStart"/>
      <w:r w:rsidRPr="0028608B">
        <w:rPr>
          <w:rStyle w:val="font-italic"/>
          <w:rFonts w:ascii="DM Sans" w:hAnsi="DM Sans"/>
          <w:i/>
          <w:iCs/>
          <w:color w:val="000000"/>
          <w:sz w:val="20"/>
          <w:szCs w:val="20"/>
        </w:rPr>
        <w:t>Ketterman</w:t>
      </w:r>
      <w:proofErr w:type="spellEnd"/>
      <w:r w:rsidRPr="0028608B">
        <w:rPr>
          <w:rStyle w:val="font-italic"/>
          <w:rFonts w:ascii="DM Sans" w:hAnsi="DM Sans"/>
          <w:i/>
          <w:iCs/>
          <w:color w:val="000000"/>
          <w:sz w:val="20"/>
          <w:szCs w:val="20"/>
        </w:rPr>
        <w:t>, J., Extension Educator, University of Maryland Extension</w:t>
      </w:r>
      <w:r w:rsidRPr="0028608B">
        <w:rPr>
          <w:rFonts w:ascii="DM Sans" w:hAnsi="DM Sans"/>
          <w:color w:val="000000"/>
          <w:sz w:val="20"/>
          <w:szCs w:val="20"/>
        </w:rPr>
        <w:br/>
      </w:r>
      <w:proofErr w:type="spellStart"/>
      <w:r w:rsidRPr="0028608B">
        <w:rPr>
          <w:rStyle w:val="font-italic"/>
          <w:rFonts w:ascii="DM Sans" w:hAnsi="DM Sans"/>
          <w:i/>
          <w:iCs/>
          <w:color w:val="000000"/>
          <w:sz w:val="20"/>
          <w:szCs w:val="20"/>
        </w:rPr>
        <w:t>Pippidis</w:t>
      </w:r>
      <w:proofErr w:type="spellEnd"/>
      <w:r w:rsidRPr="0028608B">
        <w:rPr>
          <w:rStyle w:val="font-italic"/>
          <w:rFonts w:ascii="DM Sans" w:hAnsi="DM Sans"/>
          <w:i/>
          <w:iCs/>
          <w:color w:val="000000"/>
          <w:sz w:val="20"/>
          <w:szCs w:val="20"/>
        </w:rPr>
        <w:t>, M., Extension Educator, University of Delaware Cooperative Extension</w:t>
      </w:r>
      <w:r w:rsidRPr="0028608B">
        <w:rPr>
          <w:rFonts w:ascii="DM Sans" w:hAnsi="DM Sans"/>
          <w:color w:val="000000"/>
          <w:sz w:val="20"/>
          <w:szCs w:val="20"/>
        </w:rPr>
        <w:br/>
      </w:r>
      <w:r w:rsidRPr="0028608B">
        <w:rPr>
          <w:rStyle w:val="font-italic"/>
          <w:rFonts w:ascii="DM Sans" w:hAnsi="DM Sans"/>
          <w:i/>
          <w:iCs/>
          <w:color w:val="000000"/>
          <w:sz w:val="20"/>
          <w:szCs w:val="20"/>
        </w:rPr>
        <w:t>Nuckols, D., Extension Educator, University of Maryland Extension</w:t>
      </w:r>
      <w:r w:rsidRPr="0028608B">
        <w:rPr>
          <w:rFonts w:ascii="DM Sans" w:hAnsi="DM Sans"/>
          <w:color w:val="000000"/>
          <w:sz w:val="20"/>
          <w:szCs w:val="20"/>
        </w:rPr>
        <w:br/>
      </w:r>
      <w:r w:rsidRPr="0028608B">
        <w:rPr>
          <w:rStyle w:val="font-italic"/>
          <w:rFonts w:ascii="DM Sans" w:hAnsi="DM Sans"/>
          <w:i/>
          <w:iCs/>
          <w:color w:val="000000"/>
          <w:sz w:val="20"/>
          <w:szCs w:val="20"/>
        </w:rPr>
        <w:t>Sorenson, C., Extension Educator, University of Maryland Extension</w:t>
      </w:r>
      <w:r w:rsidRPr="0028608B">
        <w:rPr>
          <w:rFonts w:ascii="DM Sans" w:hAnsi="DM Sans"/>
          <w:color w:val="000000"/>
          <w:sz w:val="20"/>
          <w:szCs w:val="20"/>
        </w:rPr>
        <w:br/>
      </w:r>
      <w:r w:rsidRPr="0028608B">
        <w:rPr>
          <w:rStyle w:val="font-italic"/>
          <w:rFonts w:ascii="DM Sans" w:hAnsi="DM Sans"/>
          <w:i/>
          <w:iCs/>
          <w:color w:val="000000"/>
          <w:sz w:val="20"/>
          <w:szCs w:val="20"/>
        </w:rPr>
        <w:t>Wang, C., Coordinator of Program Development &amp; Evaluation, University of Maryland Extension</w:t>
      </w:r>
    </w:p>
    <w:p w14:paraId="5DC88505" w14:textId="70A4040E" w:rsidR="0028608B" w:rsidRDefault="0028608B">
      <w:pPr>
        <w:shd w:val="clear" w:color="auto" w:fill="FFFFFF"/>
        <w:spacing w:after="0" w:line="240" w:lineRule="auto"/>
        <w:rPr>
          <w:rFonts w:ascii="Helvetica" w:eastAsia="Times New Roman" w:hAnsi="Helvetica" w:cs="Times New Roman"/>
          <w:sz w:val="24"/>
          <w:szCs w:val="24"/>
          <w:highlight w:val="yellow"/>
        </w:rPr>
      </w:pPr>
    </w:p>
    <w:p w14:paraId="5F3C74DC" w14:textId="77777777" w:rsidR="0028608B" w:rsidRPr="002B36CC" w:rsidRDefault="0028608B">
      <w:pPr>
        <w:shd w:val="clear" w:color="auto" w:fill="FFFFFF"/>
        <w:spacing w:after="0" w:line="240" w:lineRule="auto"/>
        <w:rPr>
          <w:rFonts w:ascii="Helvetica" w:eastAsia="Times New Roman" w:hAnsi="Helvetica" w:cs="Times New Roman"/>
          <w:sz w:val="24"/>
          <w:szCs w:val="24"/>
          <w:highlight w:val="yellow"/>
        </w:rPr>
      </w:pPr>
    </w:p>
    <w:p w14:paraId="00000031" w14:textId="524D1126" w:rsidR="009E303A" w:rsidRPr="002C5ECB" w:rsidRDefault="002A5132" w:rsidP="002C5ECB">
      <w:pPr>
        <w:jc w:val="center"/>
        <w:rPr>
          <w:rFonts w:ascii="Helvetica" w:eastAsia="Times New Roman" w:hAnsi="Helvetica" w:cs="Times New Roman"/>
          <w:sz w:val="24"/>
          <w:szCs w:val="24"/>
        </w:rPr>
      </w:pPr>
      <w:r w:rsidRPr="002B36CC">
        <w:rPr>
          <w:rFonts w:ascii="Helvetica" w:eastAsia="Times New Roman" w:hAnsi="Helvetica" w:cs="Times New Roman"/>
          <w:b/>
          <w:sz w:val="24"/>
          <w:szCs w:val="24"/>
        </w:rPr>
        <w:t>Health Insurance Options in Senior Years</w:t>
      </w:r>
    </w:p>
    <w:p w14:paraId="6035BDFD" w14:textId="794F7E19" w:rsidR="00AD6747" w:rsidRDefault="00AD6747" w:rsidP="00AD6747">
      <w:pPr>
        <w:spacing w:after="0" w:line="360" w:lineRule="auto"/>
        <w:rPr>
          <w:rFonts w:ascii="Helvetica" w:eastAsia="Times New Roman" w:hAnsi="Helvetica" w:cs="Times New Roman"/>
          <w:sz w:val="24"/>
          <w:szCs w:val="24"/>
        </w:rPr>
      </w:pPr>
    </w:p>
    <w:p w14:paraId="5C284829" w14:textId="77777777" w:rsidR="0028608B" w:rsidRDefault="0028608B" w:rsidP="0028608B">
      <w:pPr>
        <w:pStyle w:val="BasicParagraph"/>
        <w:jc w:val="center"/>
        <w:rPr>
          <w:rFonts w:ascii="Arial" w:hAnsi="Arial" w:cs="Arial"/>
          <w:b/>
          <w:bCs/>
          <w:sz w:val="22"/>
          <w:szCs w:val="22"/>
        </w:rPr>
      </w:pPr>
      <w:r>
        <w:rPr>
          <w:rFonts w:ascii="Arial" w:hAnsi="Arial" w:cs="Arial"/>
          <w:b/>
          <w:bCs/>
          <w:sz w:val="22"/>
          <w:szCs w:val="22"/>
        </w:rPr>
        <w:t>Abstract</w:t>
      </w:r>
    </w:p>
    <w:p w14:paraId="79A57938" w14:textId="22B9BC9C" w:rsidR="0028608B" w:rsidRDefault="0028608B" w:rsidP="00AD6747">
      <w:pPr>
        <w:spacing w:after="0" w:line="360" w:lineRule="auto"/>
        <w:rPr>
          <w:rFonts w:ascii="Helvetica" w:eastAsia="Times New Roman" w:hAnsi="Helvetica" w:cs="Times New Roman"/>
          <w:sz w:val="24"/>
          <w:szCs w:val="24"/>
        </w:rPr>
      </w:pPr>
    </w:p>
    <w:p w14:paraId="4A857D98" w14:textId="2774BA31" w:rsidR="0028608B" w:rsidRDefault="0028608B" w:rsidP="00AD6747">
      <w:pPr>
        <w:spacing w:after="0" w:line="360" w:lineRule="auto"/>
        <w:rPr>
          <w:rFonts w:ascii="Helvetica" w:hAnsi="Helvetica"/>
          <w:color w:val="000000"/>
          <w:sz w:val="24"/>
          <w:szCs w:val="24"/>
        </w:rPr>
      </w:pPr>
      <w:r w:rsidRPr="0028608B">
        <w:rPr>
          <w:rFonts w:ascii="Helvetica" w:hAnsi="Helvetica"/>
          <w:color w:val="000000"/>
          <w:sz w:val="24"/>
          <w:szCs w:val="24"/>
        </w:rPr>
        <w:t>Agriculture producers over age 55 need to begin planning for retirement. Health insurance options change after the age of 65. During this transition, individuals and caregivers need to understand Medicare, supplemental insurance options and the costs associated with them. Educators utilized the </w:t>
      </w:r>
      <w:r w:rsidRPr="0028608B">
        <w:rPr>
          <w:rStyle w:val="Emphasis"/>
          <w:rFonts w:ascii="Helvetica" w:hAnsi="Helvetica"/>
          <w:color w:val="000000"/>
          <w:sz w:val="24"/>
          <w:szCs w:val="24"/>
        </w:rPr>
        <w:t>Health Insurance in Your Senior Years</w:t>
      </w:r>
      <w:r w:rsidRPr="0028608B">
        <w:rPr>
          <w:rFonts w:ascii="Helvetica" w:hAnsi="Helvetica"/>
          <w:color w:val="000000"/>
          <w:sz w:val="24"/>
          <w:szCs w:val="24"/>
        </w:rPr>
        <w:t xml:space="preserve"> module to teach about planning for later life health insurance. Participants completed pre and post assessments, which indicate increased confidence, </w:t>
      </w:r>
      <w:proofErr w:type="gramStart"/>
      <w:r w:rsidRPr="0028608B">
        <w:rPr>
          <w:rFonts w:ascii="Helvetica" w:hAnsi="Helvetica"/>
          <w:color w:val="000000"/>
          <w:sz w:val="24"/>
          <w:szCs w:val="24"/>
        </w:rPr>
        <w:t>knowledge</w:t>
      </w:r>
      <w:proofErr w:type="gramEnd"/>
      <w:r w:rsidRPr="0028608B">
        <w:rPr>
          <w:rFonts w:ascii="Helvetica" w:hAnsi="Helvetica"/>
          <w:color w:val="000000"/>
          <w:sz w:val="24"/>
          <w:szCs w:val="24"/>
        </w:rPr>
        <w:t xml:space="preserve"> and likelihood to take action with respect to Medicare health insurance. Extension educators can help agriculture producers sort through the confusing advertising by offering unbiased </w:t>
      </w:r>
      <w:proofErr w:type="gramStart"/>
      <w:r w:rsidRPr="0028608B">
        <w:rPr>
          <w:rFonts w:ascii="Helvetica" w:hAnsi="Helvetica"/>
          <w:color w:val="000000"/>
          <w:sz w:val="24"/>
          <w:szCs w:val="24"/>
        </w:rPr>
        <w:t>community based</w:t>
      </w:r>
      <w:proofErr w:type="gramEnd"/>
      <w:r w:rsidRPr="0028608B">
        <w:rPr>
          <w:rFonts w:ascii="Helvetica" w:hAnsi="Helvetica"/>
          <w:color w:val="000000"/>
          <w:sz w:val="24"/>
          <w:szCs w:val="24"/>
        </w:rPr>
        <w:t xml:space="preserve"> programming to this audience.</w:t>
      </w:r>
    </w:p>
    <w:p w14:paraId="4417B494" w14:textId="77777777" w:rsidR="0028608B" w:rsidRPr="0028608B" w:rsidRDefault="0028608B" w:rsidP="00AD6747">
      <w:pPr>
        <w:spacing w:after="0" w:line="360" w:lineRule="auto"/>
        <w:rPr>
          <w:rFonts w:ascii="Helvetica" w:eastAsia="Times New Roman" w:hAnsi="Helvetica" w:cs="Times New Roman"/>
        </w:rPr>
      </w:pPr>
    </w:p>
    <w:p w14:paraId="0A6E8433" w14:textId="49790129" w:rsidR="00163195" w:rsidRPr="00163195" w:rsidRDefault="00163195" w:rsidP="00163195">
      <w:pPr>
        <w:spacing w:after="0" w:line="360" w:lineRule="auto"/>
        <w:jc w:val="center"/>
        <w:rPr>
          <w:rFonts w:ascii="Helvetica" w:eastAsia="Times New Roman" w:hAnsi="Helvetica" w:cs="Times New Roman"/>
          <w:b/>
          <w:bCs/>
          <w:sz w:val="24"/>
          <w:szCs w:val="24"/>
        </w:rPr>
      </w:pPr>
      <w:r>
        <w:rPr>
          <w:rFonts w:ascii="Helvetica" w:eastAsia="Times New Roman" w:hAnsi="Helvetica" w:cs="Times New Roman"/>
          <w:b/>
          <w:bCs/>
          <w:sz w:val="24"/>
          <w:szCs w:val="24"/>
        </w:rPr>
        <w:t>Introduction</w:t>
      </w:r>
    </w:p>
    <w:p w14:paraId="00000033" w14:textId="2AEF2537" w:rsidR="009E303A" w:rsidRPr="002B36CC" w:rsidRDefault="002A5132" w:rsidP="00AD6747">
      <w:pPr>
        <w:spacing w:after="0" w:line="360" w:lineRule="auto"/>
        <w:rPr>
          <w:rFonts w:ascii="Helvetica" w:eastAsia="Times New Roman" w:hAnsi="Helvetica" w:cs="Times New Roman"/>
          <w:sz w:val="24"/>
          <w:szCs w:val="24"/>
        </w:rPr>
      </w:pPr>
      <w:r w:rsidRPr="002B36CC">
        <w:rPr>
          <w:rFonts w:ascii="Helvetica" w:eastAsia="Times New Roman" w:hAnsi="Helvetica" w:cs="Times New Roman"/>
          <w:sz w:val="24"/>
          <w:szCs w:val="24"/>
        </w:rPr>
        <w:t>Extension educators can play an important role in assisting client</w:t>
      </w:r>
      <w:r w:rsidR="00C37E95" w:rsidRPr="002B36CC">
        <w:rPr>
          <w:rFonts w:ascii="Helvetica" w:eastAsia="Times New Roman" w:hAnsi="Helvetica" w:cs="Times New Roman"/>
          <w:sz w:val="24"/>
          <w:szCs w:val="24"/>
        </w:rPr>
        <w:t>s with understanding health insurance</w:t>
      </w:r>
      <w:r w:rsidRPr="002B36CC">
        <w:rPr>
          <w:rFonts w:ascii="Helvetica" w:eastAsia="Times New Roman" w:hAnsi="Helvetica" w:cs="Times New Roman"/>
          <w:sz w:val="24"/>
          <w:szCs w:val="24"/>
        </w:rPr>
        <w:t xml:space="preserve"> in their senior years and estimating health care costs.</w:t>
      </w:r>
      <w:r w:rsidR="002A2D89" w:rsidRPr="002B36CC">
        <w:rPr>
          <w:rFonts w:ascii="Helvetica" w:eastAsia="Times New Roman" w:hAnsi="Helvetica" w:cs="Times New Roman"/>
          <w:sz w:val="24"/>
          <w:szCs w:val="24"/>
        </w:rPr>
        <w:t xml:space="preserve"> </w:t>
      </w:r>
      <w:r w:rsidR="00676190" w:rsidRPr="002B36CC">
        <w:rPr>
          <w:rFonts w:ascii="Helvetica" w:eastAsia="Times New Roman" w:hAnsi="Helvetica" w:cs="Times New Roman"/>
          <w:sz w:val="24"/>
          <w:szCs w:val="24"/>
        </w:rPr>
        <w:t>The average ag</w:t>
      </w:r>
      <w:r w:rsidR="004B54D1" w:rsidRPr="002B36CC">
        <w:rPr>
          <w:rFonts w:ascii="Helvetica" w:eastAsia="Times New Roman" w:hAnsi="Helvetica" w:cs="Times New Roman"/>
          <w:sz w:val="24"/>
          <w:szCs w:val="24"/>
        </w:rPr>
        <w:t>e of all agriculture producers</w:t>
      </w:r>
      <w:r w:rsidR="000B4C27" w:rsidRPr="002B36CC">
        <w:rPr>
          <w:rFonts w:ascii="Helvetica" w:eastAsia="Times New Roman" w:hAnsi="Helvetica" w:cs="Times New Roman"/>
          <w:sz w:val="24"/>
          <w:szCs w:val="24"/>
        </w:rPr>
        <w:t xml:space="preserve"> is 57.5 years (USDA, 2017</w:t>
      </w:r>
      <w:r w:rsidR="00676190" w:rsidRPr="002B36CC">
        <w:rPr>
          <w:rFonts w:ascii="Helvetica" w:eastAsia="Times New Roman" w:hAnsi="Helvetica" w:cs="Times New Roman"/>
          <w:sz w:val="24"/>
          <w:szCs w:val="24"/>
        </w:rPr>
        <w:t>), nearing eligibility</w:t>
      </w:r>
      <w:r w:rsidR="000B4C27" w:rsidRPr="002B36CC">
        <w:rPr>
          <w:rFonts w:ascii="Helvetica" w:eastAsia="Times New Roman" w:hAnsi="Helvetica" w:cs="Times New Roman"/>
          <w:sz w:val="24"/>
          <w:szCs w:val="24"/>
        </w:rPr>
        <w:t xml:space="preserve"> for Medicare at age 65. This age is up 1.2 years from the 2012 survey. Over 34</w:t>
      </w:r>
      <w:r w:rsidR="00676190" w:rsidRPr="002B36CC">
        <w:rPr>
          <w:rFonts w:ascii="Helvetica" w:eastAsia="Times New Roman" w:hAnsi="Helvetica" w:cs="Times New Roman"/>
          <w:sz w:val="24"/>
          <w:szCs w:val="24"/>
        </w:rPr>
        <w:t xml:space="preserve">% of all farmers are over age 65. </w:t>
      </w:r>
      <w:r w:rsidRPr="002B36CC">
        <w:rPr>
          <w:rFonts w:ascii="Helvetica" w:eastAsia="Times New Roman" w:hAnsi="Helvetica" w:cs="Times New Roman"/>
          <w:sz w:val="24"/>
          <w:szCs w:val="24"/>
        </w:rPr>
        <w:t>Almost 90% of adults report difficulty using health information to make an informed health decision (America’s Health In</w:t>
      </w:r>
      <w:r w:rsidR="00676190" w:rsidRPr="002B36CC">
        <w:rPr>
          <w:rFonts w:ascii="Helvetica" w:eastAsia="Times New Roman" w:hAnsi="Helvetica" w:cs="Times New Roman"/>
          <w:sz w:val="24"/>
          <w:szCs w:val="24"/>
        </w:rPr>
        <w:t>surance Plans, 2013).</w:t>
      </w:r>
      <w:r w:rsidR="002A2D89" w:rsidRPr="002B36CC">
        <w:rPr>
          <w:rFonts w:ascii="Helvetica" w:eastAsia="Times New Roman" w:hAnsi="Helvetica" w:cs="Times New Roman"/>
          <w:sz w:val="24"/>
          <w:szCs w:val="24"/>
        </w:rPr>
        <w:t xml:space="preserve"> </w:t>
      </w:r>
      <w:r w:rsidR="00676190" w:rsidRPr="002B36CC">
        <w:rPr>
          <w:rFonts w:ascii="Helvetica" w:eastAsia="Times New Roman" w:hAnsi="Helvetica" w:cs="Times New Roman"/>
          <w:sz w:val="24"/>
          <w:szCs w:val="24"/>
        </w:rPr>
        <w:t xml:space="preserve">As </w:t>
      </w:r>
      <w:r w:rsidR="00200026">
        <w:rPr>
          <w:rFonts w:ascii="Helvetica" w:eastAsia="Times New Roman" w:hAnsi="Helvetica" w:cs="Times New Roman"/>
          <w:sz w:val="24"/>
          <w:szCs w:val="24"/>
        </w:rPr>
        <w:lastRenderedPageBreak/>
        <w:t>agriculture producers</w:t>
      </w:r>
      <w:r w:rsidRPr="002B36CC">
        <w:rPr>
          <w:rFonts w:ascii="Helvetica" w:eastAsia="Times New Roman" w:hAnsi="Helvetica" w:cs="Times New Roman"/>
          <w:sz w:val="24"/>
          <w:szCs w:val="24"/>
        </w:rPr>
        <w:t xml:space="preserve"> move into their senior years, they need to make important decisions about health insurance.</w:t>
      </w:r>
      <w:r w:rsidR="002A2D89" w:rsidRPr="002B36CC">
        <w:rPr>
          <w:rFonts w:ascii="Helvetica" w:eastAsia="Times New Roman" w:hAnsi="Helvetica" w:cs="Times New Roman"/>
          <w:sz w:val="24"/>
          <w:szCs w:val="24"/>
        </w:rPr>
        <w:t xml:space="preserve"> </w:t>
      </w:r>
      <w:r w:rsidRPr="002B36CC">
        <w:rPr>
          <w:rFonts w:ascii="Helvetica" w:eastAsia="Times New Roman" w:hAnsi="Helvetica" w:cs="Times New Roman"/>
          <w:sz w:val="24"/>
          <w:szCs w:val="24"/>
        </w:rPr>
        <w:t>One such decision is which insurance to choose, traditional Medicare or a Medicare Advantage plan.</w:t>
      </w:r>
      <w:r w:rsidR="002A2D89" w:rsidRPr="002B36CC">
        <w:rPr>
          <w:rFonts w:ascii="Helvetica" w:eastAsia="Times New Roman" w:hAnsi="Helvetica" w:cs="Times New Roman"/>
          <w:sz w:val="24"/>
          <w:szCs w:val="24"/>
        </w:rPr>
        <w:t xml:space="preserve"> </w:t>
      </w:r>
      <w:r w:rsidRPr="002B36CC">
        <w:rPr>
          <w:rFonts w:ascii="Helvetica" w:eastAsia="Times New Roman" w:hAnsi="Helvetica" w:cs="Times New Roman"/>
          <w:sz w:val="24"/>
          <w:szCs w:val="24"/>
        </w:rPr>
        <w:t xml:space="preserve">According to a study by the Kaiser Family Foundation (2019), </w:t>
      </w:r>
      <w:r w:rsidR="00183CBF" w:rsidRPr="002B36CC">
        <w:rPr>
          <w:rFonts w:ascii="Helvetica" w:eastAsia="Times New Roman" w:hAnsi="Helvetica" w:cs="Times New Roman"/>
          <w:sz w:val="24"/>
          <w:szCs w:val="24"/>
        </w:rPr>
        <w:t>66% of individuals enroll</w:t>
      </w:r>
      <w:r w:rsidRPr="002B36CC">
        <w:rPr>
          <w:rFonts w:ascii="Helvetica" w:eastAsia="Times New Roman" w:hAnsi="Helvetica" w:cs="Times New Roman"/>
          <w:sz w:val="24"/>
          <w:szCs w:val="24"/>
        </w:rPr>
        <w:t xml:space="preserve"> in tradi</w:t>
      </w:r>
      <w:r w:rsidR="00B42995" w:rsidRPr="002B36CC">
        <w:rPr>
          <w:rFonts w:ascii="Helvetica" w:eastAsia="Times New Roman" w:hAnsi="Helvetica" w:cs="Times New Roman"/>
          <w:sz w:val="24"/>
          <w:szCs w:val="24"/>
        </w:rPr>
        <w:t>tional Medicare and 34% select</w:t>
      </w:r>
      <w:r w:rsidRPr="002B36CC">
        <w:rPr>
          <w:rFonts w:ascii="Helvetica" w:eastAsia="Times New Roman" w:hAnsi="Helvetica" w:cs="Times New Roman"/>
          <w:sz w:val="24"/>
          <w:szCs w:val="24"/>
        </w:rPr>
        <w:t xml:space="preserve"> a Medicare Advantage HMO or PPO.</w:t>
      </w:r>
      <w:r w:rsidR="002A2D89" w:rsidRPr="002B36CC">
        <w:rPr>
          <w:rFonts w:ascii="Helvetica" w:eastAsia="Times New Roman" w:hAnsi="Helvetica" w:cs="Times New Roman"/>
          <w:sz w:val="24"/>
          <w:szCs w:val="24"/>
        </w:rPr>
        <w:t xml:space="preserve"> </w:t>
      </w:r>
      <w:r w:rsidRPr="002B36CC">
        <w:rPr>
          <w:rFonts w:ascii="Helvetica" w:eastAsia="Times New Roman" w:hAnsi="Helvetica" w:cs="Times New Roman"/>
          <w:sz w:val="24"/>
          <w:szCs w:val="24"/>
        </w:rPr>
        <w:t>Enrollment decisions can be difficult.</w:t>
      </w:r>
      <w:r w:rsidR="002A2D89" w:rsidRPr="002B36CC">
        <w:rPr>
          <w:rFonts w:ascii="Helvetica" w:eastAsia="Times New Roman" w:hAnsi="Helvetica" w:cs="Times New Roman"/>
          <w:sz w:val="24"/>
          <w:szCs w:val="24"/>
        </w:rPr>
        <w:t xml:space="preserve"> </w:t>
      </w:r>
      <w:r w:rsidR="00151209" w:rsidRPr="002B36CC">
        <w:rPr>
          <w:rFonts w:ascii="Helvetica" w:eastAsia="Times New Roman" w:hAnsi="Helvetica" w:cs="Times New Roman"/>
          <w:sz w:val="24"/>
          <w:szCs w:val="24"/>
        </w:rPr>
        <w:t xml:space="preserve">In fact, </w:t>
      </w:r>
      <w:r w:rsidRPr="002B36CC">
        <w:rPr>
          <w:rFonts w:ascii="Helvetica" w:eastAsia="Times New Roman" w:hAnsi="Helvetica" w:cs="Times New Roman"/>
          <w:sz w:val="24"/>
          <w:szCs w:val="24"/>
        </w:rPr>
        <w:t>only about 50% of Medicare Advantage plan members understand how their plan works</w:t>
      </w:r>
      <w:r w:rsidR="00151209" w:rsidRPr="002B36CC">
        <w:rPr>
          <w:rFonts w:ascii="Helvetica" w:eastAsia="Times New Roman" w:hAnsi="Helvetica" w:cs="Times New Roman"/>
          <w:sz w:val="24"/>
          <w:szCs w:val="24"/>
        </w:rPr>
        <w:t xml:space="preserve"> (J.D. Power, 2017)</w:t>
      </w:r>
      <w:r w:rsidRPr="002B36CC">
        <w:rPr>
          <w:rFonts w:ascii="Helvetica" w:eastAsia="Times New Roman" w:hAnsi="Helvetica" w:cs="Times New Roman"/>
          <w:sz w:val="24"/>
          <w:szCs w:val="24"/>
        </w:rPr>
        <w:t>.</w:t>
      </w:r>
      <w:r w:rsidR="002A2D89" w:rsidRPr="002B36CC">
        <w:rPr>
          <w:rFonts w:ascii="Helvetica" w:eastAsia="Times New Roman" w:hAnsi="Helvetica" w:cs="Times New Roman"/>
          <w:sz w:val="24"/>
          <w:szCs w:val="24"/>
        </w:rPr>
        <w:t xml:space="preserve"> </w:t>
      </w:r>
      <w:r w:rsidRPr="002B36CC">
        <w:rPr>
          <w:rFonts w:ascii="Helvetica" w:eastAsia="Times New Roman" w:hAnsi="Helvetica" w:cs="Times New Roman"/>
          <w:sz w:val="24"/>
          <w:szCs w:val="24"/>
        </w:rPr>
        <w:t xml:space="preserve">A study by the Kaiser Family Foundation (2008) analyzed the content of health insurance advertising. It showed that ads for Medicare plans tended to include minimal descriptive information to help inform health insurance choices. Additionally, the ads often left out important plan </w:t>
      </w:r>
      <w:r w:rsidR="00A3017A" w:rsidRPr="002B36CC">
        <w:rPr>
          <w:rFonts w:ascii="Helvetica" w:eastAsia="Times New Roman" w:hAnsi="Helvetica" w:cs="Times New Roman"/>
          <w:sz w:val="24"/>
          <w:szCs w:val="24"/>
        </w:rPr>
        <w:t>features, which</w:t>
      </w:r>
      <w:r w:rsidRPr="002B36CC">
        <w:rPr>
          <w:rFonts w:ascii="Helvetica" w:eastAsia="Times New Roman" w:hAnsi="Helvetica" w:cs="Times New Roman"/>
          <w:sz w:val="24"/>
          <w:szCs w:val="24"/>
        </w:rPr>
        <w:t xml:space="preserve"> might affect beneficiaries’ access to medical providers and their out-of-pocket spending.</w:t>
      </w:r>
    </w:p>
    <w:p w14:paraId="63D06E08" w14:textId="77777777" w:rsidR="00AD6747" w:rsidRPr="002B36CC" w:rsidRDefault="00AD6747" w:rsidP="00AD6747">
      <w:pPr>
        <w:spacing w:after="0" w:line="360" w:lineRule="auto"/>
        <w:rPr>
          <w:rFonts w:ascii="Helvetica" w:eastAsia="Times New Roman" w:hAnsi="Helvetica" w:cs="Times New Roman"/>
          <w:sz w:val="24"/>
          <w:szCs w:val="24"/>
        </w:rPr>
      </w:pPr>
    </w:p>
    <w:p w14:paraId="00000034" w14:textId="1F4F5400" w:rsidR="009E303A" w:rsidRPr="002B36CC" w:rsidRDefault="00151209" w:rsidP="00AD6747">
      <w:pPr>
        <w:spacing w:after="0" w:line="360" w:lineRule="auto"/>
        <w:rPr>
          <w:rFonts w:ascii="Helvetica" w:eastAsia="Times New Roman" w:hAnsi="Helvetica" w:cs="Times New Roman"/>
          <w:sz w:val="24"/>
          <w:szCs w:val="24"/>
        </w:rPr>
      </w:pPr>
      <w:r w:rsidRPr="002B36CC">
        <w:rPr>
          <w:rFonts w:ascii="Helvetica" w:eastAsia="Times New Roman" w:hAnsi="Helvetica" w:cs="Times New Roman"/>
          <w:sz w:val="24"/>
          <w:szCs w:val="24"/>
        </w:rPr>
        <w:t>Fidelity.com (2018) estimates that h</w:t>
      </w:r>
      <w:r w:rsidR="002A5132" w:rsidRPr="002B36CC">
        <w:rPr>
          <w:rFonts w:ascii="Helvetica" w:eastAsia="Times New Roman" w:hAnsi="Helvetica" w:cs="Times New Roman"/>
          <w:sz w:val="24"/>
          <w:szCs w:val="24"/>
        </w:rPr>
        <w:t>ealth care in retirement from age 65 and ol</w:t>
      </w:r>
      <w:r w:rsidRPr="002B36CC">
        <w:rPr>
          <w:rFonts w:ascii="Helvetica" w:eastAsia="Times New Roman" w:hAnsi="Helvetica" w:cs="Times New Roman"/>
          <w:sz w:val="24"/>
          <w:szCs w:val="24"/>
        </w:rPr>
        <w:t>der for a couple will</w:t>
      </w:r>
      <w:r w:rsidR="002A5132" w:rsidRPr="002B36CC">
        <w:rPr>
          <w:rFonts w:ascii="Helvetica" w:eastAsia="Times New Roman" w:hAnsi="Helvetica" w:cs="Times New Roman"/>
          <w:sz w:val="24"/>
          <w:szCs w:val="24"/>
        </w:rPr>
        <w:t xml:space="preserve"> cost $280,000 through their re</w:t>
      </w:r>
      <w:r w:rsidRPr="002B36CC">
        <w:rPr>
          <w:rFonts w:ascii="Helvetica" w:eastAsia="Times New Roman" w:hAnsi="Helvetica" w:cs="Times New Roman"/>
          <w:sz w:val="24"/>
          <w:szCs w:val="24"/>
        </w:rPr>
        <w:t>maining lifetime</w:t>
      </w:r>
      <w:r w:rsidR="002A5132" w:rsidRPr="002B36CC">
        <w:rPr>
          <w:rFonts w:ascii="Helvetica" w:eastAsia="Times New Roman" w:hAnsi="Helvetica" w:cs="Times New Roman"/>
          <w:sz w:val="24"/>
          <w:szCs w:val="24"/>
        </w:rPr>
        <w:t>.</w:t>
      </w:r>
      <w:r w:rsidR="002A2D89" w:rsidRPr="002B36CC">
        <w:rPr>
          <w:rFonts w:ascii="Helvetica" w:eastAsia="Times New Roman" w:hAnsi="Helvetica" w:cs="Times New Roman"/>
          <w:sz w:val="24"/>
          <w:szCs w:val="24"/>
        </w:rPr>
        <w:t xml:space="preserve"> </w:t>
      </w:r>
      <w:r w:rsidR="002A5132" w:rsidRPr="002B36CC">
        <w:rPr>
          <w:rFonts w:ascii="Helvetica" w:eastAsia="Times New Roman" w:hAnsi="Helvetica" w:cs="Times New Roman"/>
          <w:sz w:val="24"/>
          <w:szCs w:val="24"/>
        </w:rPr>
        <w:t>This includes Medicare premiums and other out-of-p</w:t>
      </w:r>
      <w:r w:rsidR="00C37E95" w:rsidRPr="002B36CC">
        <w:rPr>
          <w:rFonts w:ascii="Helvetica" w:eastAsia="Times New Roman" w:hAnsi="Helvetica" w:cs="Times New Roman"/>
          <w:sz w:val="24"/>
          <w:szCs w:val="24"/>
        </w:rPr>
        <w:t>ocket costs</w:t>
      </w:r>
      <w:r w:rsidR="002A5132" w:rsidRPr="002B36CC">
        <w:rPr>
          <w:rFonts w:ascii="Helvetica" w:eastAsia="Times New Roman" w:hAnsi="Helvetica" w:cs="Times New Roman"/>
          <w:sz w:val="24"/>
          <w:szCs w:val="24"/>
        </w:rPr>
        <w:t>.</w:t>
      </w:r>
      <w:r w:rsidR="002A2D89" w:rsidRPr="002B36CC">
        <w:rPr>
          <w:rFonts w:ascii="Helvetica" w:eastAsia="Times New Roman" w:hAnsi="Helvetica" w:cs="Times New Roman"/>
          <w:sz w:val="24"/>
          <w:szCs w:val="24"/>
        </w:rPr>
        <w:t xml:space="preserve"> </w:t>
      </w:r>
      <w:r w:rsidR="00200026">
        <w:rPr>
          <w:rFonts w:ascii="Helvetica" w:eastAsia="Times New Roman" w:hAnsi="Helvetica" w:cs="Times New Roman"/>
          <w:sz w:val="24"/>
          <w:szCs w:val="24"/>
        </w:rPr>
        <w:t>Agriculture producers</w:t>
      </w:r>
      <w:r w:rsidR="005F37D2" w:rsidRPr="002B36CC">
        <w:rPr>
          <w:rFonts w:ascii="Helvetica" w:eastAsia="Times New Roman" w:hAnsi="Helvetica" w:cs="Times New Roman"/>
          <w:sz w:val="24"/>
          <w:szCs w:val="24"/>
        </w:rPr>
        <w:t xml:space="preserve"> can best plan for their retirement health needs and subsequent costs when they understand how Medicare works, what it covers, and what other options are available.</w:t>
      </w:r>
      <w:r w:rsidR="002A2D89" w:rsidRPr="002B36CC">
        <w:rPr>
          <w:rFonts w:ascii="Helvetica" w:eastAsia="Times New Roman" w:hAnsi="Helvetica" w:cs="Times New Roman"/>
          <w:sz w:val="24"/>
          <w:szCs w:val="24"/>
        </w:rPr>
        <w:t xml:space="preserve"> </w:t>
      </w:r>
      <w:r w:rsidR="002A5132" w:rsidRPr="002B36CC">
        <w:rPr>
          <w:rFonts w:ascii="Helvetica" w:eastAsia="Times New Roman" w:hAnsi="Helvetica" w:cs="Times New Roman"/>
          <w:sz w:val="24"/>
          <w:szCs w:val="24"/>
        </w:rPr>
        <w:t>Therefore, it is important for educators to understand Medicare and health insurance options in senior years.</w:t>
      </w:r>
    </w:p>
    <w:p w14:paraId="2049ABFB" w14:textId="77777777" w:rsidR="00AD6747" w:rsidRPr="002B36CC" w:rsidRDefault="00AD6747" w:rsidP="00AD6747">
      <w:pPr>
        <w:spacing w:after="0" w:line="360" w:lineRule="auto"/>
        <w:rPr>
          <w:rFonts w:ascii="Helvetica" w:eastAsia="Times New Roman" w:hAnsi="Helvetica" w:cs="Times New Roman"/>
          <w:sz w:val="24"/>
          <w:szCs w:val="24"/>
        </w:rPr>
      </w:pPr>
    </w:p>
    <w:p w14:paraId="00000035" w14:textId="258436E1" w:rsidR="009E303A" w:rsidRPr="002B36CC" w:rsidRDefault="002A5132" w:rsidP="00AD6747">
      <w:pPr>
        <w:spacing w:after="0" w:line="360" w:lineRule="auto"/>
        <w:rPr>
          <w:rFonts w:ascii="Helvetica" w:eastAsia="Times New Roman" w:hAnsi="Helvetica" w:cs="Times New Roman"/>
          <w:sz w:val="24"/>
          <w:szCs w:val="24"/>
        </w:rPr>
      </w:pPr>
      <w:r w:rsidRPr="002B36CC">
        <w:rPr>
          <w:rFonts w:ascii="Helvetica" w:eastAsia="Times New Roman" w:hAnsi="Helvetica" w:cs="Times New Roman"/>
          <w:sz w:val="24"/>
          <w:szCs w:val="24"/>
        </w:rPr>
        <w:t>A multi-state Extension team developed a module to reduce confusion around this difficult decision.</w:t>
      </w:r>
      <w:r w:rsidR="002A2D89" w:rsidRPr="002B36CC">
        <w:rPr>
          <w:rFonts w:ascii="Helvetica" w:eastAsia="Times New Roman" w:hAnsi="Helvetica" w:cs="Times New Roman"/>
          <w:sz w:val="24"/>
          <w:szCs w:val="24"/>
        </w:rPr>
        <w:t xml:space="preserve"> </w:t>
      </w:r>
      <w:r w:rsidRPr="002B36CC">
        <w:rPr>
          <w:rFonts w:ascii="Helvetica" w:eastAsia="Times New Roman" w:hAnsi="Helvetica" w:cs="Times New Roman"/>
          <w:sz w:val="24"/>
          <w:szCs w:val="24"/>
        </w:rPr>
        <w:t xml:space="preserve">The </w:t>
      </w:r>
      <w:r w:rsidR="007D3371" w:rsidRPr="002B36CC">
        <w:rPr>
          <w:rFonts w:ascii="Helvetica" w:eastAsia="Times New Roman" w:hAnsi="Helvetica" w:cs="Times New Roman"/>
          <w:sz w:val="24"/>
          <w:szCs w:val="24"/>
        </w:rPr>
        <w:t>team grounded the module</w:t>
      </w:r>
      <w:r w:rsidRPr="002B36CC">
        <w:rPr>
          <w:rFonts w:ascii="Helvetica" w:eastAsia="Times New Roman" w:hAnsi="Helvetica" w:cs="Times New Roman"/>
          <w:sz w:val="24"/>
          <w:szCs w:val="24"/>
        </w:rPr>
        <w:t xml:space="preserve"> in health insurance literacy, social cognitive theory, and adult learning theories.</w:t>
      </w:r>
      <w:r w:rsidR="002A2D89" w:rsidRPr="002B36CC">
        <w:rPr>
          <w:rFonts w:ascii="Helvetica" w:eastAsia="Times New Roman" w:hAnsi="Helvetica" w:cs="Times New Roman"/>
          <w:sz w:val="24"/>
          <w:szCs w:val="24"/>
        </w:rPr>
        <w:t xml:space="preserve"> </w:t>
      </w:r>
      <w:r w:rsidR="007D3371" w:rsidRPr="002B36CC">
        <w:rPr>
          <w:rFonts w:ascii="Helvetica" w:eastAsia="Times New Roman" w:hAnsi="Helvetica" w:cs="Times New Roman"/>
          <w:sz w:val="24"/>
          <w:szCs w:val="24"/>
        </w:rPr>
        <w:t xml:space="preserve">Geared toward audiences aged 55 and older, </w:t>
      </w:r>
      <w:r w:rsidRPr="002B36CC">
        <w:rPr>
          <w:rFonts w:ascii="Helvetica" w:eastAsia="Times New Roman" w:hAnsi="Helvetica" w:cs="Times New Roman"/>
          <w:sz w:val="24"/>
          <w:szCs w:val="24"/>
        </w:rPr>
        <w:t xml:space="preserve">The </w:t>
      </w:r>
      <w:r w:rsidRPr="002B36CC">
        <w:rPr>
          <w:rFonts w:ascii="Helvetica" w:eastAsia="Times New Roman" w:hAnsi="Helvetica" w:cs="Times New Roman"/>
          <w:i/>
          <w:sz w:val="24"/>
          <w:szCs w:val="24"/>
        </w:rPr>
        <w:t>Health Insurance in Your Senior Years</w:t>
      </w:r>
      <w:r w:rsidRPr="002B36CC">
        <w:rPr>
          <w:rFonts w:ascii="Helvetica" w:eastAsia="Times New Roman" w:hAnsi="Helvetica" w:cs="Times New Roman"/>
          <w:sz w:val="24"/>
          <w:szCs w:val="24"/>
        </w:rPr>
        <w:t xml:space="preserve"> </w:t>
      </w:r>
      <w:r w:rsidRPr="002B36CC">
        <w:rPr>
          <w:rFonts w:ascii="Helvetica" w:eastAsia="Times New Roman" w:hAnsi="Helvetica" w:cs="Times New Roman"/>
          <w:i/>
          <w:sz w:val="24"/>
          <w:szCs w:val="24"/>
        </w:rPr>
        <w:t>– Medicare and Other Options</w:t>
      </w:r>
      <w:r w:rsidR="00A47805" w:rsidRPr="002B36CC">
        <w:rPr>
          <w:rFonts w:ascii="Helvetica" w:eastAsia="Times New Roman" w:hAnsi="Helvetica" w:cs="Times New Roman"/>
          <w:sz w:val="24"/>
          <w:szCs w:val="24"/>
        </w:rPr>
        <w:t xml:space="preserve"> educational module</w:t>
      </w:r>
      <w:r w:rsidRPr="002B36CC">
        <w:rPr>
          <w:rFonts w:ascii="Helvetica" w:eastAsia="Times New Roman" w:hAnsi="Helvetica" w:cs="Times New Roman"/>
          <w:sz w:val="24"/>
          <w:szCs w:val="24"/>
        </w:rPr>
        <w:t xml:space="preserve"> </w:t>
      </w:r>
      <w:r w:rsidR="007D3371" w:rsidRPr="002B36CC">
        <w:rPr>
          <w:rFonts w:ascii="Helvetica" w:eastAsia="Times New Roman" w:hAnsi="Helvetica" w:cs="Times New Roman"/>
          <w:sz w:val="24"/>
          <w:szCs w:val="24"/>
        </w:rPr>
        <w:t xml:space="preserve">seeks </w:t>
      </w:r>
      <w:r w:rsidRPr="002B36CC">
        <w:rPr>
          <w:rFonts w:ascii="Helvetica" w:eastAsia="Times New Roman" w:hAnsi="Helvetica" w:cs="Times New Roman"/>
          <w:sz w:val="24"/>
          <w:szCs w:val="24"/>
        </w:rPr>
        <w:t>to increase their understanding and confidence regarding Medicare and other health insurance options.</w:t>
      </w:r>
      <w:r w:rsidR="002A2D89" w:rsidRPr="002B36CC">
        <w:rPr>
          <w:rFonts w:ascii="Helvetica" w:eastAsia="Times New Roman" w:hAnsi="Helvetica" w:cs="Times New Roman"/>
          <w:sz w:val="24"/>
          <w:szCs w:val="24"/>
        </w:rPr>
        <w:t xml:space="preserve"> </w:t>
      </w:r>
      <w:r w:rsidR="00C85E20">
        <w:rPr>
          <w:rFonts w:ascii="Helvetica" w:eastAsia="Times New Roman" w:hAnsi="Helvetica" w:cs="Times New Roman"/>
          <w:sz w:val="24"/>
          <w:szCs w:val="24"/>
        </w:rPr>
        <w:t xml:space="preserve">The module provides an overview of Medicare Parts A, B, C, and D, includes a case study to estimate healthcare costs in retirement, and explains long-term care options. </w:t>
      </w:r>
      <w:r w:rsidR="00663AF1" w:rsidRPr="002B36CC">
        <w:rPr>
          <w:rFonts w:ascii="Helvetica" w:eastAsia="Times New Roman" w:hAnsi="Helvetica" w:cs="Times New Roman"/>
          <w:sz w:val="24"/>
          <w:szCs w:val="24"/>
        </w:rPr>
        <w:t>The content is relevant for individuals planning for their retirement, consumers 65 and older, and the educators and caregivers who assist them in making health insurance decisions.</w:t>
      </w:r>
    </w:p>
    <w:p w14:paraId="1001C0DE" w14:textId="77777777" w:rsidR="00AD6747" w:rsidRPr="002B36CC" w:rsidRDefault="00AD6747" w:rsidP="00AD6747">
      <w:pPr>
        <w:spacing w:after="0" w:line="360" w:lineRule="auto"/>
        <w:rPr>
          <w:rFonts w:ascii="Helvetica" w:eastAsia="Times New Roman" w:hAnsi="Helvetica" w:cs="Times New Roman"/>
          <w:sz w:val="24"/>
          <w:szCs w:val="24"/>
        </w:rPr>
      </w:pPr>
    </w:p>
    <w:p w14:paraId="00000036" w14:textId="034E8513" w:rsidR="009E303A" w:rsidRPr="002B36CC" w:rsidRDefault="00C37E95" w:rsidP="00AD6747">
      <w:pPr>
        <w:shd w:val="clear" w:color="auto" w:fill="FFFFFF"/>
        <w:spacing w:after="0" w:line="360" w:lineRule="auto"/>
        <w:jc w:val="center"/>
        <w:rPr>
          <w:rFonts w:ascii="Helvetica" w:eastAsia="Times New Roman" w:hAnsi="Helvetica" w:cs="Times New Roman"/>
          <w:b/>
          <w:sz w:val="24"/>
          <w:szCs w:val="24"/>
        </w:rPr>
      </w:pPr>
      <w:r w:rsidRPr="002B36CC">
        <w:rPr>
          <w:rFonts w:ascii="Helvetica" w:eastAsia="Times New Roman" w:hAnsi="Helvetica" w:cs="Times New Roman"/>
          <w:b/>
          <w:sz w:val="24"/>
          <w:szCs w:val="24"/>
        </w:rPr>
        <w:lastRenderedPageBreak/>
        <w:t>Objective</w:t>
      </w:r>
    </w:p>
    <w:p w14:paraId="00000038" w14:textId="2AD1CB7F" w:rsidR="009E303A" w:rsidRPr="002B36CC" w:rsidRDefault="00F44131" w:rsidP="00AD6747">
      <w:pPr>
        <w:spacing w:after="0" w:line="360" w:lineRule="auto"/>
        <w:rPr>
          <w:rFonts w:ascii="Helvetica" w:eastAsia="Times New Roman" w:hAnsi="Helvetica" w:cs="Times New Roman"/>
          <w:sz w:val="24"/>
          <w:szCs w:val="24"/>
        </w:rPr>
      </w:pPr>
      <w:r w:rsidRPr="002B36CC">
        <w:rPr>
          <w:rFonts w:ascii="Helvetica" w:eastAsia="Times New Roman" w:hAnsi="Helvetica" w:cs="Times New Roman"/>
          <w:sz w:val="24"/>
          <w:szCs w:val="24"/>
        </w:rPr>
        <w:t>The</w:t>
      </w:r>
      <w:r w:rsidR="002A5132" w:rsidRPr="002B36CC">
        <w:rPr>
          <w:rFonts w:ascii="Helvetica" w:eastAsia="Times New Roman" w:hAnsi="Helvetica" w:cs="Times New Roman"/>
          <w:sz w:val="24"/>
          <w:szCs w:val="24"/>
        </w:rPr>
        <w:t xml:space="preserve"> health insurance literacy </w:t>
      </w:r>
      <w:r w:rsidR="00A3017A" w:rsidRPr="002B36CC">
        <w:rPr>
          <w:rFonts w:ascii="Helvetica" w:eastAsia="Times New Roman" w:hAnsi="Helvetica" w:cs="Times New Roman"/>
          <w:sz w:val="24"/>
          <w:szCs w:val="24"/>
        </w:rPr>
        <w:t xml:space="preserve">team </w:t>
      </w:r>
      <w:r w:rsidR="002A5132" w:rsidRPr="002B36CC">
        <w:rPr>
          <w:rFonts w:ascii="Helvetica" w:eastAsia="Times New Roman" w:hAnsi="Helvetica" w:cs="Times New Roman"/>
          <w:sz w:val="24"/>
          <w:szCs w:val="24"/>
        </w:rPr>
        <w:t xml:space="preserve">designed </w:t>
      </w:r>
      <w:r w:rsidR="00A3017A" w:rsidRPr="002B36CC">
        <w:rPr>
          <w:rFonts w:ascii="Helvetica" w:eastAsia="Times New Roman" w:hAnsi="Helvetica" w:cs="Times New Roman"/>
          <w:sz w:val="24"/>
          <w:szCs w:val="24"/>
        </w:rPr>
        <w:t xml:space="preserve">the module </w:t>
      </w:r>
      <w:r w:rsidR="002A5132" w:rsidRPr="002B36CC">
        <w:rPr>
          <w:rFonts w:ascii="Helvetica" w:eastAsia="Times New Roman" w:hAnsi="Helvetica" w:cs="Times New Roman"/>
          <w:sz w:val="24"/>
          <w:szCs w:val="24"/>
        </w:rPr>
        <w:t>to inform health insurance decision making for those in o</w:t>
      </w:r>
      <w:r w:rsidR="007D3371" w:rsidRPr="002B36CC">
        <w:rPr>
          <w:rFonts w:ascii="Helvetica" w:eastAsia="Times New Roman" w:hAnsi="Helvetica" w:cs="Times New Roman"/>
          <w:sz w:val="24"/>
          <w:szCs w:val="24"/>
        </w:rPr>
        <w:t>r entering their senior years.</w:t>
      </w:r>
      <w:r w:rsidR="002A2D89" w:rsidRPr="002B36CC">
        <w:rPr>
          <w:rFonts w:ascii="Helvetica" w:eastAsia="Times New Roman" w:hAnsi="Helvetica" w:cs="Times New Roman"/>
          <w:sz w:val="24"/>
          <w:szCs w:val="24"/>
        </w:rPr>
        <w:t xml:space="preserve"> </w:t>
      </w:r>
      <w:r w:rsidR="002A5132" w:rsidRPr="002B36CC">
        <w:rPr>
          <w:rFonts w:ascii="Helvetica" w:eastAsia="Times New Roman" w:hAnsi="Helvetica" w:cs="Times New Roman"/>
          <w:sz w:val="24"/>
          <w:szCs w:val="24"/>
        </w:rPr>
        <w:t xml:space="preserve">The purpose of this study was to determine whether the program met two specific objectives: (1) that participants gain knowledge of </w:t>
      </w:r>
      <w:r w:rsidR="00663AF1" w:rsidRPr="002B36CC">
        <w:rPr>
          <w:rFonts w:ascii="Helvetica" w:eastAsia="Times New Roman" w:hAnsi="Helvetica" w:cs="Times New Roman"/>
          <w:sz w:val="24"/>
          <w:szCs w:val="24"/>
        </w:rPr>
        <w:t xml:space="preserve">and </w:t>
      </w:r>
      <w:r w:rsidR="002A5132" w:rsidRPr="002B36CC">
        <w:rPr>
          <w:rFonts w:ascii="Helvetica" w:eastAsia="Times New Roman" w:hAnsi="Helvetica" w:cs="Times New Roman"/>
          <w:sz w:val="24"/>
          <w:szCs w:val="24"/>
        </w:rPr>
        <w:t>where to go for information about Medicare and supplemental health insurance options, and (2) that participants gain confidence to use strategies and tools to help estimate health care costs.</w:t>
      </w:r>
      <w:r w:rsidR="002A2D89" w:rsidRPr="002B36CC">
        <w:rPr>
          <w:rFonts w:ascii="Helvetica" w:eastAsia="Times New Roman" w:hAnsi="Helvetica" w:cs="Times New Roman"/>
          <w:sz w:val="24"/>
          <w:szCs w:val="24"/>
        </w:rPr>
        <w:t xml:space="preserve"> </w:t>
      </w:r>
      <w:r w:rsidR="002A5132" w:rsidRPr="002B36CC">
        <w:rPr>
          <w:rFonts w:ascii="Helvetica" w:eastAsia="Times New Roman" w:hAnsi="Helvetica" w:cs="Times New Roman"/>
          <w:sz w:val="24"/>
          <w:szCs w:val="24"/>
        </w:rPr>
        <w:t xml:space="preserve"> During the module, </w:t>
      </w:r>
      <w:r w:rsidR="00A3017A" w:rsidRPr="002B36CC">
        <w:rPr>
          <w:rFonts w:ascii="Helvetica" w:eastAsia="Times New Roman" w:hAnsi="Helvetica" w:cs="Times New Roman"/>
          <w:sz w:val="24"/>
          <w:szCs w:val="24"/>
        </w:rPr>
        <w:t xml:space="preserve">facilitators review </w:t>
      </w:r>
      <w:r w:rsidR="002A5132" w:rsidRPr="002B36CC">
        <w:rPr>
          <w:rFonts w:ascii="Helvetica" w:eastAsia="Times New Roman" w:hAnsi="Helvetica" w:cs="Times New Roman"/>
          <w:sz w:val="24"/>
          <w:szCs w:val="24"/>
        </w:rPr>
        <w:t>impo</w:t>
      </w:r>
      <w:r w:rsidR="00A3017A" w:rsidRPr="002B36CC">
        <w:rPr>
          <w:rFonts w:ascii="Helvetica" w:eastAsia="Times New Roman" w:hAnsi="Helvetica" w:cs="Times New Roman"/>
          <w:sz w:val="24"/>
          <w:szCs w:val="24"/>
        </w:rPr>
        <w:t>rtant words to know</w:t>
      </w:r>
      <w:r w:rsidR="002A5132" w:rsidRPr="002B36CC">
        <w:rPr>
          <w:rFonts w:ascii="Helvetica" w:eastAsia="Times New Roman" w:hAnsi="Helvetica" w:cs="Times New Roman"/>
          <w:sz w:val="24"/>
          <w:szCs w:val="24"/>
        </w:rPr>
        <w:t xml:space="preserve"> and a case study provides hands-on learning for estimating costs.</w:t>
      </w:r>
    </w:p>
    <w:p w14:paraId="04032537" w14:textId="77777777" w:rsidR="00AD6747" w:rsidRPr="002B36CC" w:rsidRDefault="00AD6747" w:rsidP="00AD6747">
      <w:pPr>
        <w:spacing w:after="0" w:line="360" w:lineRule="auto"/>
        <w:rPr>
          <w:rFonts w:ascii="Helvetica" w:eastAsia="Times New Roman" w:hAnsi="Helvetica" w:cs="Times New Roman"/>
          <w:sz w:val="24"/>
          <w:szCs w:val="24"/>
        </w:rPr>
      </w:pPr>
    </w:p>
    <w:p w14:paraId="00000039" w14:textId="77777777" w:rsidR="009E303A" w:rsidRPr="002B36CC" w:rsidRDefault="002A5132" w:rsidP="00AD6747">
      <w:pPr>
        <w:shd w:val="clear" w:color="auto" w:fill="FFFFFF"/>
        <w:spacing w:after="0" w:line="360" w:lineRule="auto"/>
        <w:jc w:val="center"/>
        <w:rPr>
          <w:rFonts w:ascii="Helvetica" w:eastAsia="Times New Roman" w:hAnsi="Helvetica" w:cs="Times New Roman"/>
          <w:b/>
          <w:sz w:val="24"/>
          <w:szCs w:val="24"/>
        </w:rPr>
      </w:pPr>
      <w:r w:rsidRPr="002B36CC">
        <w:rPr>
          <w:rFonts w:ascii="Helvetica" w:eastAsia="Times New Roman" w:hAnsi="Helvetica" w:cs="Times New Roman"/>
          <w:b/>
          <w:sz w:val="24"/>
          <w:szCs w:val="24"/>
        </w:rPr>
        <w:t>Method</w:t>
      </w:r>
    </w:p>
    <w:p w14:paraId="0000003A" w14:textId="769BDA6F" w:rsidR="009E303A" w:rsidRPr="002B36CC" w:rsidRDefault="00A3017A" w:rsidP="00AD6747">
      <w:pPr>
        <w:shd w:val="clear" w:color="auto" w:fill="FFFFFF"/>
        <w:spacing w:after="0" w:line="360" w:lineRule="auto"/>
        <w:rPr>
          <w:rFonts w:ascii="Helvetica" w:eastAsia="Times New Roman" w:hAnsi="Helvetica" w:cs="Times New Roman"/>
          <w:sz w:val="24"/>
          <w:szCs w:val="24"/>
        </w:rPr>
      </w:pPr>
      <w:r w:rsidRPr="002B36CC">
        <w:rPr>
          <w:rFonts w:ascii="Helvetica" w:eastAsia="Times New Roman" w:hAnsi="Helvetica" w:cs="Times New Roman"/>
          <w:sz w:val="24"/>
          <w:szCs w:val="24"/>
        </w:rPr>
        <w:t>Researchers designed the study</w:t>
      </w:r>
      <w:r w:rsidR="002A5132" w:rsidRPr="002B36CC">
        <w:rPr>
          <w:rFonts w:ascii="Helvetica" w:eastAsia="Times New Roman" w:hAnsi="Helvetica" w:cs="Times New Roman"/>
          <w:sz w:val="24"/>
          <w:szCs w:val="24"/>
        </w:rPr>
        <w:t xml:space="preserve"> to test the exten</w:t>
      </w:r>
      <w:r w:rsidR="00617AF2" w:rsidRPr="002B36CC">
        <w:rPr>
          <w:rFonts w:ascii="Helvetica" w:eastAsia="Times New Roman" w:hAnsi="Helvetica" w:cs="Times New Roman"/>
          <w:sz w:val="24"/>
          <w:szCs w:val="24"/>
        </w:rPr>
        <w:t>t to which the module increased</w:t>
      </w:r>
      <w:r w:rsidR="00F44131" w:rsidRPr="002B36CC">
        <w:rPr>
          <w:rFonts w:ascii="Helvetica" w:eastAsia="Times New Roman" w:hAnsi="Helvetica" w:cs="Times New Roman"/>
          <w:sz w:val="24"/>
          <w:szCs w:val="24"/>
        </w:rPr>
        <w:t xml:space="preserve"> </w:t>
      </w:r>
      <w:r w:rsidR="002A5132" w:rsidRPr="002B36CC">
        <w:rPr>
          <w:rFonts w:ascii="Helvetica" w:eastAsia="Times New Roman" w:hAnsi="Helvetica" w:cs="Times New Roman"/>
          <w:sz w:val="24"/>
          <w:szCs w:val="24"/>
        </w:rPr>
        <w:t xml:space="preserve">confidence </w:t>
      </w:r>
      <w:r w:rsidR="00617AF2" w:rsidRPr="002B36CC">
        <w:rPr>
          <w:rFonts w:ascii="Helvetica" w:eastAsia="Times New Roman" w:hAnsi="Helvetica" w:cs="Times New Roman"/>
          <w:sz w:val="24"/>
          <w:szCs w:val="24"/>
        </w:rPr>
        <w:t xml:space="preserve">and likelihood to take action </w:t>
      </w:r>
      <w:r w:rsidR="002A5132" w:rsidRPr="002B36CC">
        <w:rPr>
          <w:rFonts w:ascii="Helvetica" w:eastAsia="Times New Roman" w:hAnsi="Helvetica" w:cs="Times New Roman"/>
          <w:sz w:val="24"/>
          <w:szCs w:val="24"/>
        </w:rPr>
        <w:t>among consumers who comple</w:t>
      </w:r>
      <w:r w:rsidRPr="002B36CC">
        <w:rPr>
          <w:rFonts w:ascii="Helvetica" w:eastAsia="Times New Roman" w:hAnsi="Helvetica" w:cs="Times New Roman"/>
          <w:sz w:val="24"/>
          <w:szCs w:val="24"/>
        </w:rPr>
        <w:t>ted the module.</w:t>
      </w:r>
      <w:r w:rsidR="002A2D89" w:rsidRPr="002B36CC">
        <w:rPr>
          <w:rFonts w:ascii="Helvetica" w:eastAsia="Times New Roman" w:hAnsi="Helvetica" w:cs="Times New Roman"/>
          <w:sz w:val="24"/>
          <w:szCs w:val="24"/>
        </w:rPr>
        <w:t xml:space="preserve"> </w:t>
      </w:r>
      <w:r w:rsidRPr="002B36CC">
        <w:rPr>
          <w:rFonts w:ascii="Helvetica" w:eastAsia="Times New Roman" w:hAnsi="Helvetica" w:cs="Times New Roman"/>
          <w:sz w:val="24"/>
          <w:szCs w:val="24"/>
        </w:rPr>
        <w:t>F</w:t>
      </w:r>
      <w:r w:rsidR="007D3371" w:rsidRPr="002B36CC">
        <w:rPr>
          <w:rFonts w:ascii="Helvetica" w:eastAsia="Times New Roman" w:hAnsi="Helvetica" w:cs="Times New Roman"/>
          <w:sz w:val="24"/>
          <w:szCs w:val="24"/>
        </w:rPr>
        <w:t>ive Extension e</w:t>
      </w:r>
      <w:r w:rsidR="002A5132" w:rsidRPr="002B36CC">
        <w:rPr>
          <w:rFonts w:ascii="Helvetica" w:eastAsia="Times New Roman" w:hAnsi="Helvetica" w:cs="Times New Roman"/>
          <w:sz w:val="24"/>
          <w:szCs w:val="24"/>
        </w:rPr>
        <w:t>ducators from two st</w:t>
      </w:r>
      <w:r w:rsidRPr="002B36CC">
        <w:rPr>
          <w:rFonts w:ascii="Helvetica" w:eastAsia="Times New Roman" w:hAnsi="Helvetica" w:cs="Times New Roman"/>
          <w:sz w:val="24"/>
          <w:szCs w:val="24"/>
        </w:rPr>
        <w:t>ates, Delaware and Maryland,</w:t>
      </w:r>
      <w:r w:rsidR="002A5132" w:rsidRPr="002B36CC">
        <w:rPr>
          <w:rFonts w:ascii="Helvetica" w:eastAsia="Times New Roman" w:hAnsi="Helvetica" w:cs="Times New Roman"/>
          <w:sz w:val="24"/>
          <w:szCs w:val="24"/>
        </w:rPr>
        <w:t xml:space="preserve"> taught the program in person and via webinar between 2019 and 2020.</w:t>
      </w:r>
      <w:r w:rsidR="002A2D89" w:rsidRPr="002B36CC">
        <w:rPr>
          <w:rFonts w:ascii="Helvetica" w:eastAsia="Times New Roman" w:hAnsi="Helvetica" w:cs="Times New Roman"/>
          <w:sz w:val="24"/>
          <w:szCs w:val="24"/>
        </w:rPr>
        <w:t xml:space="preserve"> </w:t>
      </w:r>
      <w:r w:rsidR="002A5132" w:rsidRPr="002B36CC">
        <w:rPr>
          <w:rFonts w:ascii="Helvetica" w:eastAsia="Times New Roman" w:hAnsi="Helvetica" w:cs="Times New Roman"/>
          <w:sz w:val="24"/>
          <w:szCs w:val="24"/>
        </w:rPr>
        <w:t xml:space="preserve">Educators were required to complete the </w:t>
      </w:r>
      <w:r w:rsidR="002A5132" w:rsidRPr="002B36CC">
        <w:rPr>
          <w:rFonts w:ascii="Helvetica" w:eastAsia="Times New Roman" w:hAnsi="Helvetica" w:cs="Times New Roman"/>
          <w:i/>
          <w:sz w:val="24"/>
          <w:szCs w:val="24"/>
        </w:rPr>
        <w:t>Health Insurance in Your Senior Years</w:t>
      </w:r>
      <w:r w:rsidR="002A5132" w:rsidRPr="002B36CC">
        <w:rPr>
          <w:rFonts w:ascii="Helvetica" w:eastAsia="Times New Roman" w:hAnsi="Helvetica" w:cs="Times New Roman"/>
          <w:sz w:val="24"/>
          <w:szCs w:val="24"/>
        </w:rPr>
        <w:t xml:space="preserve"> train-the-trainer workshop, which includes sessions on adult learning and theory, evaluation and module content.</w:t>
      </w:r>
      <w:r w:rsidR="002A2D89" w:rsidRPr="002B36CC">
        <w:rPr>
          <w:rFonts w:ascii="Helvetica" w:eastAsia="Times New Roman" w:hAnsi="Helvetica" w:cs="Times New Roman"/>
          <w:sz w:val="24"/>
          <w:szCs w:val="24"/>
        </w:rPr>
        <w:t xml:space="preserve"> </w:t>
      </w:r>
    </w:p>
    <w:p w14:paraId="5E85A185" w14:textId="77777777" w:rsidR="00AD6747" w:rsidRPr="002B36CC" w:rsidRDefault="00AD6747" w:rsidP="00AD6747">
      <w:pPr>
        <w:shd w:val="clear" w:color="auto" w:fill="FFFFFF"/>
        <w:spacing w:after="0" w:line="360" w:lineRule="auto"/>
        <w:rPr>
          <w:rFonts w:ascii="Helvetica" w:eastAsia="Times New Roman" w:hAnsi="Helvetica" w:cs="Times New Roman"/>
          <w:sz w:val="24"/>
          <w:szCs w:val="24"/>
        </w:rPr>
      </w:pPr>
    </w:p>
    <w:p w14:paraId="0000003B" w14:textId="74DD888B" w:rsidR="009E303A" w:rsidRPr="002B36CC" w:rsidRDefault="00D95E8A" w:rsidP="00AD6747">
      <w:pPr>
        <w:shd w:val="clear" w:color="auto" w:fill="FFFFFF"/>
        <w:spacing w:after="0" w:line="360" w:lineRule="auto"/>
        <w:rPr>
          <w:rFonts w:ascii="Helvetica" w:eastAsia="Times New Roman" w:hAnsi="Helvetica" w:cs="Times New Roman"/>
          <w:b/>
          <w:sz w:val="24"/>
          <w:szCs w:val="24"/>
        </w:rPr>
      </w:pPr>
      <w:r w:rsidRPr="002B36CC">
        <w:rPr>
          <w:rFonts w:ascii="Helvetica" w:eastAsia="Times New Roman" w:hAnsi="Helvetica" w:cs="Times New Roman"/>
          <w:sz w:val="24"/>
          <w:szCs w:val="24"/>
        </w:rPr>
        <w:t>E</w:t>
      </w:r>
      <w:r w:rsidR="00D244BF" w:rsidRPr="002B36CC">
        <w:rPr>
          <w:rFonts w:ascii="Helvetica" w:eastAsia="Times New Roman" w:hAnsi="Helvetica" w:cs="Times New Roman"/>
          <w:sz w:val="24"/>
          <w:szCs w:val="24"/>
        </w:rPr>
        <w:t xml:space="preserve">xtension </w:t>
      </w:r>
      <w:r w:rsidR="007D3371" w:rsidRPr="002B36CC">
        <w:rPr>
          <w:rFonts w:ascii="Helvetica" w:eastAsia="Times New Roman" w:hAnsi="Helvetica" w:cs="Times New Roman"/>
          <w:sz w:val="24"/>
          <w:szCs w:val="24"/>
        </w:rPr>
        <w:t>e</w:t>
      </w:r>
      <w:r w:rsidRPr="002B36CC">
        <w:rPr>
          <w:rFonts w:ascii="Helvetica" w:eastAsia="Times New Roman" w:hAnsi="Helvetica" w:cs="Times New Roman"/>
          <w:sz w:val="24"/>
          <w:szCs w:val="24"/>
        </w:rPr>
        <w:t>ducators recruited participants</w:t>
      </w:r>
      <w:r w:rsidR="002A5132" w:rsidRPr="002B36CC">
        <w:rPr>
          <w:rFonts w:ascii="Helvetica" w:eastAsia="Times New Roman" w:hAnsi="Helvetica" w:cs="Times New Roman"/>
          <w:sz w:val="24"/>
          <w:szCs w:val="24"/>
        </w:rPr>
        <w:t xml:space="preserve"> through a variety of forums.</w:t>
      </w:r>
      <w:r w:rsidR="002A2D89" w:rsidRPr="002B36CC">
        <w:rPr>
          <w:rFonts w:ascii="Helvetica" w:eastAsia="Times New Roman" w:hAnsi="Helvetica" w:cs="Times New Roman"/>
          <w:sz w:val="24"/>
          <w:szCs w:val="24"/>
        </w:rPr>
        <w:t xml:space="preserve"> </w:t>
      </w:r>
      <w:r w:rsidR="00CC1DF5" w:rsidRPr="002B36CC">
        <w:rPr>
          <w:rFonts w:ascii="Helvetica" w:eastAsia="Times New Roman" w:hAnsi="Helvetica" w:cs="Times New Roman"/>
          <w:sz w:val="24"/>
          <w:szCs w:val="24"/>
        </w:rPr>
        <w:t>In collaboration with Extension agriculture educators, facilitators offered the module as one session in a series of educational sessions on succession planning for farm audiences.</w:t>
      </w:r>
      <w:r w:rsidR="002A2D89" w:rsidRPr="002B36CC">
        <w:rPr>
          <w:rFonts w:ascii="Helvetica" w:eastAsia="Times New Roman" w:hAnsi="Helvetica" w:cs="Times New Roman"/>
          <w:sz w:val="24"/>
          <w:szCs w:val="24"/>
        </w:rPr>
        <w:t xml:space="preserve"> </w:t>
      </w:r>
      <w:r w:rsidRPr="002B36CC">
        <w:rPr>
          <w:rFonts w:ascii="Helvetica" w:eastAsia="Times New Roman" w:hAnsi="Helvetica" w:cs="Times New Roman"/>
          <w:sz w:val="24"/>
          <w:szCs w:val="24"/>
        </w:rPr>
        <w:t>T</w:t>
      </w:r>
      <w:r w:rsidR="00C37E95" w:rsidRPr="002B36CC">
        <w:rPr>
          <w:rFonts w:ascii="Helvetica" w:eastAsia="Times New Roman" w:hAnsi="Helvetica" w:cs="Times New Roman"/>
          <w:sz w:val="24"/>
          <w:szCs w:val="24"/>
        </w:rPr>
        <w:t>he e</w:t>
      </w:r>
      <w:r w:rsidRPr="002B36CC">
        <w:rPr>
          <w:rFonts w:ascii="Helvetica" w:eastAsia="Times New Roman" w:hAnsi="Helvetica" w:cs="Times New Roman"/>
          <w:sz w:val="24"/>
          <w:szCs w:val="24"/>
        </w:rPr>
        <w:t>ducators offered webinars</w:t>
      </w:r>
      <w:r w:rsidR="002A5132" w:rsidRPr="002B36CC">
        <w:rPr>
          <w:rFonts w:ascii="Helvetica" w:eastAsia="Times New Roman" w:hAnsi="Helvetica" w:cs="Times New Roman"/>
          <w:sz w:val="24"/>
          <w:szCs w:val="24"/>
        </w:rPr>
        <w:t xml:space="preserve"> throughout 2020 with participants recruited through listservs and</w:t>
      </w:r>
      <w:r w:rsidR="00C37E95" w:rsidRPr="002B36CC">
        <w:rPr>
          <w:rFonts w:ascii="Helvetica" w:eastAsia="Times New Roman" w:hAnsi="Helvetica" w:cs="Times New Roman"/>
          <w:sz w:val="24"/>
          <w:szCs w:val="24"/>
        </w:rPr>
        <w:t xml:space="preserve"> social media.</w:t>
      </w:r>
      <w:r w:rsidR="002A2D89" w:rsidRPr="002B36CC">
        <w:rPr>
          <w:rFonts w:ascii="Helvetica" w:eastAsia="Times New Roman" w:hAnsi="Helvetica" w:cs="Times New Roman"/>
          <w:sz w:val="24"/>
          <w:szCs w:val="24"/>
        </w:rPr>
        <w:t xml:space="preserve"> </w:t>
      </w:r>
    </w:p>
    <w:p w14:paraId="1EB83F61" w14:textId="77777777" w:rsidR="00AD6747" w:rsidRPr="002B36CC" w:rsidRDefault="00AD6747" w:rsidP="00AD6747">
      <w:pPr>
        <w:shd w:val="clear" w:color="auto" w:fill="FFFFFF"/>
        <w:spacing w:after="0" w:line="360" w:lineRule="auto"/>
        <w:rPr>
          <w:rFonts w:ascii="Helvetica" w:eastAsia="Times New Roman" w:hAnsi="Helvetica" w:cs="Times New Roman"/>
          <w:sz w:val="24"/>
          <w:szCs w:val="24"/>
        </w:rPr>
      </w:pPr>
    </w:p>
    <w:p w14:paraId="0000003D" w14:textId="0ABED098" w:rsidR="009E303A" w:rsidRPr="002B36CC" w:rsidRDefault="00D244BF" w:rsidP="00AD6747">
      <w:pPr>
        <w:shd w:val="clear" w:color="auto" w:fill="FFFFFF"/>
        <w:spacing w:after="0" w:line="360" w:lineRule="auto"/>
        <w:rPr>
          <w:rFonts w:ascii="Helvetica" w:eastAsia="Times New Roman" w:hAnsi="Helvetica" w:cs="Times New Roman"/>
          <w:sz w:val="24"/>
          <w:szCs w:val="24"/>
        </w:rPr>
      </w:pPr>
      <w:r w:rsidRPr="002B36CC">
        <w:rPr>
          <w:rFonts w:ascii="Helvetica" w:eastAsia="Times New Roman" w:hAnsi="Helvetica" w:cs="Times New Roman"/>
          <w:sz w:val="24"/>
          <w:szCs w:val="24"/>
        </w:rPr>
        <w:t>Facilitators administered a</w:t>
      </w:r>
      <w:r w:rsidR="002A5132" w:rsidRPr="002B36CC">
        <w:rPr>
          <w:rFonts w:ascii="Helvetica" w:eastAsia="Times New Roman" w:hAnsi="Helvetica" w:cs="Times New Roman"/>
          <w:sz w:val="24"/>
          <w:szCs w:val="24"/>
        </w:rPr>
        <w:t xml:space="preserve"> </w:t>
      </w:r>
      <w:r w:rsidRPr="002B36CC">
        <w:rPr>
          <w:rFonts w:ascii="Helvetica" w:eastAsia="Times New Roman" w:hAnsi="Helvetica" w:cs="Times New Roman"/>
          <w:sz w:val="24"/>
          <w:szCs w:val="24"/>
        </w:rPr>
        <w:t>pre/post survey</w:t>
      </w:r>
      <w:r w:rsidR="002A5132" w:rsidRPr="002B36CC">
        <w:rPr>
          <w:rFonts w:ascii="Helvetica" w:eastAsia="Times New Roman" w:hAnsi="Helvetica" w:cs="Times New Roman"/>
          <w:sz w:val="24"/>
          <w:szCs w:val="24"/>
        </w:rPr>
        <w:t xml:space="preserve"> to measure confidence and behavior change.</w:t>
      </w:r>
      <w:r w:rsidR="002A2D89" w:rsidRPr="002B36CC">
        <w:rPr>
          <w:rFonts w:ascii="Helvetica" w:eastAsia="Times New Roman" w:hAnsi="Helvetica" w:cs="Times New Roman"/>
          <w:sz w:val="24"/>
          <w:szCs w:val="24"/>
        </w:rPr>
        <w:t xml:space="preserve"> </w:t>
      </w:r>
      <w:r w:rsidR="002A5132" w:rsidRPr="002B36CC">
        <w:rPr>
          <w:rFonts w:ascii="Helvetica" w:eastAsia="Times New Roman" w:hAnsi="Helvetica" w:cs="Times New Roman"/>
          <w:sz w:val="24"/>
          <w:szCs w:val="24"/>
        </w:rPr>
        <w:t>The questions were adapted from a bank of questions developed and tested by the American Institutes for Research (AIR) on a representa</w:t>
      </w:r>
      <w:r w:rsidRPr="002B36CC">
        <w:rPr>
          <w:rFonts w:ascii="Helvetica" w:eastAsia="Times New Roman" w:hAnsi="Helvetica" w:cs="Times New Roman"/>
          <w:sz w:val="24"/>
          <w:szCs w:val="24"/>
        </w:rPr>
        <w:t>tive sample of 45,000 adults.</w:t>
      </w:r>
      <w:r w:rsidR="002A2D89" w:rsidRPr="002B36CC">
        <w:rPr>
          <w:rFonts w:ascii="Helvetica" w:eastAsia="Times New Roman" w:hAnsi="Helvetica" w:cs="Times New Roman"/>
          <w:sz w:val="24"/>
          <w:szCs w:val="24"/>
        </w:rPr>
        <w:t xml:space="preserve"> </w:t>
      </w:r>
      <w:r w:rsidRPr="002B36CC">
        <w:rPr>
          <w:rFonts w:ascii="Helvetica" w:eastAsia="Times New Roman" w:hAnsi="Helvetica" w:cs="Times New Roman"/>
          <w:sz w:val="24"/>
          <w:szCs w:val="24"/>
        </w:rPr>
        <w:t>Researchers used a</w:t>
      </w:r>
      <w:r w:rsidR="00610286" w:rsidRPr="002B36CC">
        <w:rPr>
          <w:rFonts w:ascii="Helvetica" w:eastAsia="Times New Roman" w:hAnsi="Helvetica" w:cs="Times New Roman"/>
          <w:sz w:val="24"/>
          <w:szCs w:val="24"/>
        </w:rPr>
        <w:t xml:space="preserve"> paired sample</w:t>
      </w:r>
      <w:r w:rsidR="00D61885" w:rsidRPr="002B36CC">
        <w:rPr>
          <w:rFonts w:ascii="Helvetica" w:eastAsia="Times New Roman" w:hAnsi="Helvetica" w:cs="Times New Roman"/>
          <w:sz w:val="24"/>
          <w:szCs w:val="24"/>
        </w:rPr>
        <w:t>s</w:t>
      </w:r>
      <w:r w:rsidRPr="002B36CC">
        <w:rPr>
          <w:rFonts w:ascii="Helvetica" w:eastAsia="Times New Roman" w:hAnsi="Helvetica" w:cs="Times New Roman"/>
          <w:sz w:val="24"/>
          <w:szCs w:val="24"/>
        </w:rPr>
        <w:t xml:space="preserve"> t-test</w:t>
      </w:r>
      <w:r w:rsidR="002A5132" w:rsidRPr="002B36CC">
        <w:rPr>
          <w:rFonts w:ascii="Helvetica" w:eastAsia="Times New Roman" w:hAnsi="Helvetica" w:cs="Times New Roman"/>
          <w:sz w:val="24"/>
          <w:szCs w:val="24"/>
        </w:rPr>
        <w:t xml:space="preserve"> to determine</w:t>
      </w:r>
      <w:r w:rsidRPr="002B36CC">
        <w:rPr>
          <w:rFonts w:ascii="Helvetica" w:eastAsia="Times New Roman" w:hAnsi="Helvetica" w:cs="Times New Roman"/>
          <w:sz w:val="24"/>
          <w:szCs w:val="24"/>
        </w:rPr>
        <w:t xml:space="preserve"> statistical significance.</w:t>
      </w:r>
      <w:r w:rsidR="002A2D89" w:rsidRPr="002B36CC">
        <w:rPr>
          <w:rFonts w:ascii="Helvetica" w:eastAsia="Times New Roman" w:hAnsi="Helvetica" w:cs="Times New Roman"/>
          <w:sz w:val="24"/>
          <w:szCs w:val="24"/>
        </w:rPr>
        <w:t xml:space="preserve"> </w:t>
      </w:r>
      <w:r w:rsidRPr="002B36CC">
        <w:rPr>
          <w:rFonts w:ascii="Helvetica" w:eastAsia="Times New Roman" w:hAnsi="Helvetica" w:cs="Times New Roman"/>
          <w:sz w:val="24"/>
          <w:szCs w:val="24"/>
        </w:rPr>
        <w:t>University of Maryland, College Park’s IRB Office approved the study</w:t>
      </w:r>
      <w:r w:rsidR="002A5132" w:rsidRPr="002B36CC">
        <w:rPr>
          <w:rFonts w:ascii="Helvetica" w:eastAsia="Times New Roman" w:hAnsi="Helvetica" w:cs="Times New Roman"/>
          <w:sz w:val="24"/>
          <w:szCs w:val="24"/>
        </w:rPr>
        <w:t>.</w:t>
      </w:r>
    </w:p>
    <w:p w14:paraId="1056D01C" w14:textId="77777777" w:rsidR="00AD6747" w:rsidRPr="002B36CC" w:rsidRDefault="00AD6747" w:rsidP="00AD6747">
      <w:pPr>
        <w:shd w:val="clear" w:color="auto" w:fill="FFFFFF"/>
        <w:spacing w:after="0" w:line="360" w:lineRule="auto"/>
        <w:rPr>
          <w:rFonts w:ascii="Helvetica" w:eastAsia="Times New Roman" w:hAnsi="Helvetica" w:cs="Times New Roman"/>
          <w:sz w:val="24"/>
          <w:szCs w:val="24"/>
        </w:rPr>
      </w:pPr>
    </w:p>
    <w:p w14:paraId="6E00189D" w14:textId="77777777" w:rsidR="0028608B" w:rsidRDefault="0028608B" w:rsidP="00AD6747">
      <w:pPr>
        <w:shd w:val="clear" w:color="auto" w:fill="FFFFFF"/>
        <w:spacing w:after="0" w:line="360" w:lineRule="auto"/>
        <w:jc w:val="center"/>
        <w:rPr>
          <w:rFonts w:ascii="Helvetica" w:eastAsia="Times New Roman" w:hAnsi="Helvetica" w:cs="Times New Roman"/>
          <w:b/>
          <w:sz w:val="24"/>
          <w:szCs w:val="24"/>
        </w:rPr>
      </w:pPr>
    </w:p>
    <w:p w14:paraId="0000003E" w14:textId="5C77763E" w:rsidR="009E303A" w:rsidRPr="002B36CC" w:rsidRDefault="00C37E95" w:rsidP="00AD6747">
      <w:pPr>
        <w:shd w:val="clear" w:color="auto" w:fill="FFFFFF"/>
        <w:spacing w:after="0" w:line="360" w:lineRule="auto"/>
        <w:jc w:val="center"/>
        <w:rPr>
          <w:rFonts w:ascii="Helvetica" w:eastAsia="Times New Roman" w:hAnsi="Helvetica" w:cs="Times New Roman"/>
          <w:b/>
          <w:sz w:val="24"/>
          <w:szCs w:val="24"/>
        </w:rPr>
      </w:pPr>
      <w:r w:rsidRPr="002B36CC">
        <w:rPr>
          <w:rFonts w:ascii="Helvetica" w:eastAsia="Times New Roman" w:hAnsi="Helvetica" w:cs="Times New Roman"/>
          <w:b/>
          <w:sz w:val="24"/>
          <w:szCs w:val="24"/>
        </w:rPr>
        <w:lastRenderedPageBreak/>
        <w:t>Results</w:t>
      </w:r>
    </w:p>
    <w:p w14:paraId="00000040" w14:textId="6EB743EA" w:rsidR="009E303A" w:rsidRPr="002B36CC" w:rsidRDefault="002A5132" w:rsidP="00AD6747">
      <w:pPr>
        <w:spacing w:after="0" w:line="360" w:lineRule="auto"/>
        <w:rPr>
          <w:rFonts w:ascii="Helvetica" w:eastAsia="Times New Roman" w:hAnsi="Helvetica" w:cs="Times New Roman"/>
          <w:sz w:val="24"/>
          <w:szCs w:val="24"/>
        </w:rPr>
      </w:pPr>
      <w:r w:rsidRPr="002B36CC">
        <w:rPr>
          <w:rFonts w:ascii="Helvetica" w:eastAsia="Times New Roman" w:hAnsi="Helvetica" w:cs="Times New Roman"/>
          <w:sz w:val="24"/>
          <w:szCs w:val="24"/>
        </w:rPr>
        <w:t>There were 124 participants in the study.</w:t>
      </w:r>
      <w:r w:rsidR="002A2D89" w:rsidRPr="002B36CC">
        <w:rPr>
          <w:rFonts w:ascii="Helvetica" w:eastAsia="Times New Roman" w:hAnsi="Helvetica" w:cs="Times New Roman"/>
          <w:sz w:val="24"/>
          <w:szCs w:val="24"/>
        </w:rPr>
        <w:t xml:space="preserve"> </w:t>
      </w:r>
      <w:r w:rsidRPr="002B36CC">
        <w:rPr>
          <w:rFonts w:ascii="Helvetica" w:eastAsia="Times New Roman" w:hAnsi="Helvetica" w:cs="Times New Roman"/>
          <w:sz w:val="24"/>
          <w:szCs w:val="24"/>
        </w:rPr>
        <w:t>Demographic measures included age, sex, race, and income.</w:t>
      </w:r>
      <w:r w:rsidR="002A2D89" w:rsidRPr="002B36CC">
        <w:rPr>
          <w:rFonts w:ascii="Helvetica" w:eastAsia="Times New Roman" w:hAnsi="Helvetica" w:cs="Times New Roman"/>
          <w:sz w:val="24"/>
          <w:szCs w:val="24"/>
        </w:rPr>
        <w:t xml:space="preserve"> </w:t>
      </w:r>
      <w:r w:rsidRPr="002B36CC">
        <w:rPr>
          <w:rFonts w:ascii="Helvetica" w:eastAsia="Times New Roman" w:hAnsi="Helvetica" w:cs="Times New Roman"/>
          <w:sz w:val="24"/>
          <w:szCs w:val="24"/>
        </w:rPr>
        <w:t>The majority of participants were female (73.2%), with a mean age of 54.</w:t>
      </w:r>
      <w:r w:rsidR="002A2D89" w:rsidRPr="002B36CC">
        <w:rPr>
          <w:rFonts w:ascii="Helvetica" w:eastAsia="Times New Roman" w:hAnsi="Helvetica" w:cs="Times New Roman"/>
          <w:sz w:val="24"/>
          <w:szCs w:val="24"/>
        </w:rPr>
        <w:t xml:space="preserve"> </w:t>
      </w:r>
      <w:r w:rsidRPr="002B36CC">
        <w:rPr>
          <w:rFonts w:ascii="Helvetica" w:eastAsia="Times New Roman" w:hAnsi="Helvetica" w:cs="Times New Roman"/>
          <w:sz w:val="24"/>
          <w:szCs w:val="24"/>
        </w:rPr>
        <w:t>The most commonly reported racial group was white/non-Hispanic (87.6%), followed by Black/African American (10.5%).</w:t>
      </w:r>
      <w:r w:rsidR="002A2D89" w:rsidRPr="002B36CC">
        <w:rPr>
          <w:rFonts w:ascii="Helvetica" w:eastAsia="Times New Roman" w:hAnsi="Helvetica" w:cs="Times New Roman"/>
          <w:sz w:val="24"/>
          <w:szCs w:val="24"/>
        </w:rPr>
        <w:t xml:space="preserve"> </w:t>
      </w:r>
      <w:r w:rsidRPr="002B36CC">
        <w:rPr>
          <w:rFonts w:ascii="Helvetica" w:eastAsia="Times New Roman" w:hAnsi="Helvetica" w:cs="Times New Roman"/>
          <w:sz w:val="24"/>
          <w:szCs w:val="24"/>
        </w:rPr>
        <w:t>Over 81% reported an income of over $50,000.</w:t>
      </w:r>
      <w:r w:rsidR="002A2D89" w:rsidRPr="002B36CC">
        <w:rPr>
          <w:rFonts w:ascii="Helvetica" w:eastAsia="Times New Roman" w:hAnsi="Helvetica" w:cs="Times New Roman"/>
          <w:sz w:val="24"/>
          <w:szCs w:val="24"/>
        </w:rPr>
        <w:t xml:space="preserve"> </w:t>
      </w:r>
      <w:r w:rsidRPr="002B36CC">
        <w:rPr>
          <w:rFonts w:ascii="Helvetica" w:eastAsia="Times New Roman" w:hAnsi="Helvetica" w:cs="Times New Roman"/>
          <w:sz w:val="24"/>
          <w:szCs w:val="24"/>
        </w:rPr>
        <w:t>Table 1 shows the summary of participant demographics.</w:t>
      </w:r>
      <w:r w:rsidR="002A2D89" w:rsidRPr="002B36CC">
        <w:rPr>
          <w:rFonts w:ascii="Helvetica" w:eastAsia="Times New Roman" w:hAnsi="Helvetica" w:cs="Times New Roman"/>
          <w:sz w:val="24"/>
          <w:szCs w:val="24"/>
        </w:rPr>
        <w:t xml:space="preserve"> </w:t>
      </w:r>
    </w:p>
    <w:p w14:paraId="49DD8F25" w14:textId="77777777" w:rsidR="000441E4" w:rsidRPr="002B36CC" w:rsidRDefault="000441E4" w:rsidP="000441E4">
      <w:pPr>
        <w:shd w:val="clear" w:color="auto" w:fill="FFFFFF"/>
        <w:spacing w:after="0" w:line="240" w:lineRule="auto"/>
        <w:rPr>
          <w:rFonts w:ascii="Helvetica" w:eastAsia="Times New Roman" w:hAnsi="Helvetica" w:cs="Times New Roman"/>
          <w:b/>
          <w:sz w:val="24"/>
          <w:szCs w:val="24"/>
        </w:rPr>
      </w:pPr>
    </w:p>
    <w:p w14:paraId="74D2846A" w14:textId="77777777" w:rsidR="00322A2F" w:rsidRDefault="00322A2F" w:rsidP="00322A2F">
      <w:pPr>
        <w:shd w:val="clear" w:color="auto" w:fill="FFFFFF"/>
        <w:spacing w:line="240" w:lineRule="auto"/>
        <w:rPr>
          <w:rFonts w:ascii="Helvetica" w:eastAsia="Times New Roman" w:hAnsi="Helvetica" w:cs="Times New Roman"/>
          <w:b/>
          <w:sz w:val="24"/>
          <w:szCs w:val="24"/>
        </w:rPr>
      </w:pPr>
    </w:p>
    <w:p w14:paraId="42E1D57C" w14:textId="3A374157" w:rsidR="00322A2F" w:rsidRPr="00322A2F" w:rsidRDefault="00322A2F" w:rsidP="00322A2F">
      <w:pPr>
        <w:shd w:val="clear" w:color="auto" w:fill="FFFFFF"/>
        <w:spacing w:line="240" w:lineRule="auto"/>
        <w:rPr>
          <w:rFonts w:ascii="Helvetica" w:eastAsia="Times New Roman" w:hAnsi="Helvetica" w:cs="Times New Roman"/>
          <w:iCs/>
          <w:sz w:val="24"/>
          <w:szCs w:val="24"/>
        </w:rPr>
      </w:pPr>
      <w:r>
        <w:rPr>
          <w:rFonts w:ascii="Helvetica" w:eastAsia="Times New Roman" w:hAnsi="Helvetica" w:cs="Times New Roman"/>
          <w:b/>
          <w:sz w:val="24"/>
          <w:szCs w:val="24"/>
        </w:rPr>
        <w:t xml:space="preserve">Table 1. </w:t>
      </w:r>
      <w:r w:rsidRPr="00322A2F">
        <w:rPr>
          <w:rFonts w:ascii="Helvetica" w:eastAsia="Times New Roman" w:hAnsi="Helvetica" w:cs="Times New Roman"/>
          <w:iCs/>
          <w:sz w:val="24"/>
          <w:szCs w:val="24"/>
        </w:rPr>
        <w:t>Participant Demographics (N=124)</w:t>
      </w:r>
    </w:p>
    <w:p w14:paraId="594E8AFD" w14:textId="6CC7C46B" w:rsidR="000441E4" w:rsidRPr="002B36CC" w:rsidRDefault="000441E4" w:rsidP="000441E4">
      <w:pPr>
        <w:shd w:val="clear" w:color="auto" w:fill="FFFFFF"/>
        <w:spacing w:after="0" w:line="240" w:lineRule="auto"/>
        <w:rPr>
          <w:rFonts w:ascii="Helvetica" w:eastAsia="Times New Roman" w:hAnsi="Helvetica" w:cs="Times New Roman"/>
          <w:b/>
          <w:sz w:val="24"/>
          <w:szCs w:val="24"/>
        </w:rPr>
      </w:pPr>
    </w:p>
    <w:tbl>
      <w:tblPr>
        <w:tblW w:w="5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1335"/>
        <w:gridCol w:w="1515"/>
      </w:tblGrid>
      <w:tr w:rsidR="000441E4" w:rsidRPr="002B36CC" w14:paraId="186048D6" w14:textId="77777777" w:rsidTr="00F25C12">
        <w:tc>
          <w:tcPr>
            <w:tcW w:w="312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1560D0B4" w14:textId="77777777" w:rsidR="000441E4" w:rsidRPr="002B36CC" w:rsidRDefault="000441E4" w:rsidP="00F25C12">
            <w:pPr>
              <w:widowControl w:val="0"/>
              <w:spacing w:line="240" w:lineRule="auto"/>
              <w:rPr>
                <w:rFonts w:ascii="Helvetica" w:eastAsia="Times New Roman" w:hAnsi="Helvetica" w:cs="Times New Roman"/>
                <w:sz w:val="24"/>
                <w:szCs w:val="24"/>
              </w:rPr>
            </w:pPr>
            <w:r w:rsidRPr="002B36CC">
              <w:rPr>
                <w:rFonts w:ascii="Helvetica" w:eastAsia="Times New Roman" w:hAnsi="Helvetica" w:cs="Times New Roman"/>
                <w:sz w:val="24"/>
                <w:szCs w:val="24"/>
              </w:rPr>
              <w:t>Demographics</w:t>
            </w:r>
          </w:p>
        </w:tc>
        <w:tc>
          <w:tcPr>
            <w:tcW w:w="133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3E33379F" w14:textId="77777777" w:rsidR="000441E4" w:rsidRPr="002B36CC" w:rsidRDefault="000441E4" w:rsidP="00322A2F">
            <w:pPr>
              <w:widowControl w:val="0"/>
              <w:spacing w:line="240" w:lineRule="auto"/>
              <w:jc w:val="center"/>
              <w:rPr>
                <w:rFonts w:ascii="Helvetica" w:eastAsia="Times New Roman" w:hAnsi="Helvetica" w:cs="Times New Roman"/>
                <w:i/>
                <w:sz w:val="24"/>
                <w:szCs w:val="24"/>
              </w:rPr>
            </w:pPr>
            <w:r w:rsidRPr="002B36CC">
              <w:rPr>
                <w:rFonts w:ascii="Helvetica" w:eastAsia="Times New Roman" w:hAnsi="Helvetica" w:cs="Times New Roman"/>
                <w:i/>
                <w:sz w:val="24"/>
                <w:szCs w:val="24"/>
              </w:rPr>
              <w:t>n</w:t>
            </w:r>
          </w:p>
        </w:tc>
        <w:tc>
          <w:tcPr>
            <w:tcW w:w="151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4DE9AB5F" w14:textId="2108EB93" w:rsidR="000441E4" w:rsidRPr="002B36CC" w:rsidRDefault="000441E4" w:rsidP="00322A2F">
            <w:pPr>
              <w:widowControl w:val="0"/>
              <w:spacing w:line="240" w:lineRule="auto"/>
              <w:ind w:right="3345"/>
              <w:jc w:val="center"/>
              <w:rPr>
                <w:rFonts w:ascii="Helvetica" w:eastAsia="Times New Roman" w:hAnsi="Helvetica" w:cs="Times New Roman"/>
                <w:sz w:val="24"/>
                <w:szCs w:val="24"/>
              </w:rPr>
            </w:pPr>
            <w:r w:rsidRPr="002B36CC">
              <w:rPr>
                <w:rFonts w:ascii="Helvetica" w:eastAsia="Times New Roman" w:hAnsi="Helvetica" w:cs="Times New Roman"/>
                <w:sz w:val="24"/>
                <w:szCs w:val="24"/>
              </w:rPr>
              <w:t>%</w:t>
            </w:r>
          </w:p>
        </w:tc>
      </w:tr>
      <w:tr w:rsidR="000441E4" w:rsidRPr="002B36CC" w14:paraId="3FF1CF1D" w14:textId="77777777" w:rsidTr="00F25C12">
        <w:tc>
          <w:tcPr>
            <w:tcW w:w="31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0D6EDBE" w14:textId="77777777" w:rsidR="000441E4" w:rsidRPr="00322A2F" w:rsidRDefault="000441E4" w:rsidP="00322A2F">
            <w:pPr>
              <w:widowControl w:val="0"/>
              <w:spacing w:after="0" w:line="240" w:lineRule="auto"/>
              <w:rPr>
                <w:rFonts w:ascii="Helvetica" w:eastAsia="Times New Roman" w:hAnsi="Helvetica" w:cs="Times New Roman"/>
                <w:b/>
                <w:bCs/>
                <w:sz w:val="24"/>
                <w:szCs w:val="24"/>
              </w:rPr>
            </w:pPr>
            <w:r w:rsidRPr="00322A2F">
              <w:rPr>
                <w:rFonts w:ascii="Helvetica" w:eastAsia="Times New Roman" w:hAnsi="Helvetica" w:cs="Times New Roman"/>
                <w:b/>
                <w:bCs/>
                <w:sz w:val="24"/>
                <w:szCs w:val="24"/>
              </w:rPr>
              <w:t xml:space="preserve">Sex </w:t>
            </w:r>
          </w:p>
        </w:tc>
        <w:tc>
          <w:tcPr>
            <w:tcW w:w="133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06B6E1D" w14:textId="77777777" w:rsidR="000441E4" w:rsidRPr="002B36CC" w:rsidRDefault="000441E4" w:rsidP="00322A2F">
            <w:pPr>
              <w:widowControl w:val="0"/>
              <w:spacing w:after="0" w:line="240" w:lineRule="auto"/>
              <w:jc w:val="center"/>
              <w:rPr>
                <w:rFonts w:ascii="Helvetica" w:eastAsia="Times New Roman" w:hAnsi="Helvetica" w:cs="Times New Roman"/>
                <w:sz w:val="24"/>
                <w:szCs w:val="24"/>
              </w:rPr>
            </w:pPr>
          </w:p>
        </w:tc>
        <w:tc>
          <w:tcPr>
            <w:tcW w:w="151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6C0B15" w14:textId="77777777" w:rsidR="000441E4" w:rsidRPr="002B36CC" w:rsidRDefault="000441E4" w:rsidP="00322A2F">
            <w:pPr>
              <w:widowControl w:val="0"/>
              <w:spacing w:after="0" w:line="240" w:lineRule="auto"/>
              <w:jc w:val="center"/>
              <w:rPr>
                <w:rFonts w:ascii="Helvetica" w:eastAsia="Times New Roman" w:hAnsi="Helvetica" w:cs="Times New Roman"/>
                <w:sz w:val="24"/>
                <w:szCs w:val="24"/>
              </w:rPr>
            </w:pPr>
          </w:p>
        </w:tc>
      </w:tr>
      <w:tr w:rsidR="000441E4" w:rsidRPr="002B36CC" w14:paraId="2033A577" w14:textId="77777777" w:rsidTr="00F25C12">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AA36500" w14:textId="66DAA733" w:rsidR="000441E4" w:rsidRPr="002B36CC" w:rsidRDefault="002A2D89" w:rsidP="00322A2F">
            <w:pPr>
              <w:widowControl w:val="0"/>
              <w:spacing w:after="0" w:line="240" w:lineRule="auto"/>
              <w:rPr>
                <w:rFonts w:ascii="Helvetica" w:eastAsia="Times New Roman" w:hAnsi="Helvetica" w:cs="Times New Roman"/>
                <w:sz w:val="24"/>
                <w:szCs w:val="24"/>
              </w:rPr>
            </w:pPr>
            <w:r w:rsidRPr="002B36CC">
              <w:rPr>
                <w:rFonts w:ascii="Helvetica" w:eastAsia="Times New Roman" w:hAnsi="Helvetica" w:cs="Times New Roman"/>
                <w:sz w:val="24"/>
                <w:szCs w:val="24"/>
              </w:rPr>
              <w:t xml:space="preserve">  </w:t>
            </w:r>
            <w:r w:rsidR="000441E4" w:rsidRPr="002B36CC">
              <w:rPr>
                <w:rFonts w:ascii="Helvetica" w:eastAsia="Times New Roman" w:hAnsi="Helvetica" w:cs="Times New Roman"/>
                <w:sz w:val="24"/>
                <w:szCs w:val="24"/>
              </w:rPr>
              <w:t xml:space="preserve"> Male</w:t>
            </w:r>
          </w:p>
        </w:tc>
        <w:tc>
          <w:tcPr>
            <w:tcW w:w="13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9668632" w14:textId="77777777" w:rsidR="000441E4" w:rsidRPr="002B36CC" w:rsidRDefault="000441E4" w:rsidP="00322A2F">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32</w:t>
            </w:r>
          </w:p>
        </w:tc>
        <w:tc>
          <w:tcPr>
            <w:tcW w:w="15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D36F3CB" w14:textId="77777777" w:rsidR="000441E4" w:rsidRPr="002B36CC" w:rsidRDefault="000441E4" w:rsidP="00322A2F">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26.0</w:t>
            </w:r>
          </w:p>
        </w:tc>
      </w:tr>
      <w:tr w:rsidR="000441E4" w:rsidRPr="002B36CC" w14:paraId="2E549D8A" w14:textId="77777777" w:rsidTr="00F25C12">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85F7D3A" w14:textId="006635DC" w:rsidR="000441E4" w:rsidRPr="002B36CC" w:rsidRDefault="002A2D89" w:rsidP="00322A2F">
            <w:pPr>
              <w:widowControl w:val="0"/>
              <w:spacing w:after="0" w:line="240" w:lineRule="auto"/>
              <w:rPr>
                <w:rFonts w:ascii="Helvetica" w:eastAsia="Times New Roman" w:hAnsi="Helvetica" w:cs="Times New Roman"/>
                <w:sz w:val="24"/>
                <w:szCs w:val="24"/>
              </w:rPr>
            </w:pPr>
            <w:r w:rsidRPr="002B36CC">
              <w:rPr>
                <w:rFonts w:ascii="Helvetica" w:eastAsia="Times New Roman" w:hAnsi="Helvetica" w:cs="Times New Roman"/>
                <w:sz w:val="24"/>
                <w:szCs w:val="24"/>
              </w:rPr>
              <w:t xml:space="preserve">  </w:t>
            </w:r>
            <w:r w:rsidR="000441E4" w:rsidRPr="002B36CC">
              <w:rPr>
                <w:rFonts w:ascii="Helvetica" w:eastAsia="Times New Roman" w:hAnsi="Helvetica" w:cs="Times New Roman"/>
                <w:sz w:val="24"/>
                <w:szCs w:val="24"/>
              </w:rPr>
              <w:t xml:space="preserve"> Female</w:t>
            </w:r>
          </w:p>
        </w:tc>
        <w:tc>
          <w:tcPr>
            <w:tcW w:w="13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254005A" w14:textId="77777777" w:rsidR="000441E4" w:rsidRPr="002B36CC" w:rsidRDefault="000441E4" w:rsidP="00322A2F">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90</w:t>
            </w:r>
          </w:p>
        </w:tc>
        <w:tc>
          <w:tcPr>
            <w:tcW w:w="15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9E2DEC" w14:textId="77777777" w:rsidR="000441E4" w:rsidRPr="002B36CC" w:rsidRDefault="000441E4" w:rsidP="00322A2F">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73.2</w:t>
            </w:r>
          </w:p>
        </w:tc>
      </w:tr>
      <w:tr w:rsidR="000441E4" w:rsidRPr="002B36CC" w14:paraId="0FF144BE" w14:textId="77777777" w:rsidTr="00F25C12">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F2C89C6" w14:textId="5C23D399" w:rsidR="000441E4" w:rsidRPr="002B36CC" w:rsidRDefault="002A2D89" w:rsidP="00322A2F">
            <w:pPr>
              <w:widowControl w:val="0"/>
              <w:spacing w:after="0" w:line="240" w:lineRule="auto"/>
              <w:rPr>
                <w:rFonts w:ascii="Helvetica" w:eastAsia="Times New Roman" w:hAnsi="Helvetica" w:cs="Times New Roman"/>
                <w:sz w:val="24"/>
                <w:szCs w:val="24"/>
              </w:rPr>
            </w:pPr>
            <w:r w:rsidRPr="002B36CC">
              <w:rPr>
                <w:rFonts w:ascii="Helvetica" w:eastAsia="Times New Roman" w:hAnsi="Helvetica" w:cs="Times New Roman"/>
                <w:sz w:val="24"/>
                <w:szCs w:val="24"/>
              </w:rPr>
              <w:t xml:space="preserve">  </w:t>
            </w:r>
            <w:r w:rsidR="000441E4" w:rsidRPr="002B36CC">
              <w:rPr>
                <w:rFonts w:ascii="Helvetica" w:eastAsia="Times New Roman" w:hAnsi="Helvetica" w:cs="Times New Roman"/>
                <w:sz w:val="24"/>
                <w:szCs w:val="24"/>
              </w:rPr>
              <w:t xml:space="preserve"> Other</w:t>
            </w:r>
          </w:p>
        </w:tc>
        <w:tc>
          <w:tcPr>
            <w:tcW w:w="13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AAE7E8B" w14:textId="77777777" w:rsidR="000441E4" w:rsidRPr="002B36CC" w:rsidRDefault="000441E4" w:rsidP="00322A2F">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1</w:t>
            </w:r>
          </w:p>
        </w:tc>
        <w:tc>
          <w:tcPr>
            <w:tcW w:w="15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3398006" w14:textId="77684871" w:rsidR="000441E4" w:rsidRPr="002B36CC" w:rsidRDefault="00322A2F" w:rsidP="00322A2F">
            <w:pPr>
              <w:widowControl w:val="0"/>
              <w:spacing w:after="0" w:line="240" w:lineRule="auto"/>
              <w:jc w:val="center"/>
              <w:rPr>
                <w:rFonts w:ascii="Helvetica" w:eastAsia="Times New Roman" w:hAnsi="Helvetica" w:cs="Times New Roman"/>
                <w:sz w:val="24"/>
                <w:szCs w:val="24"/>
              </w:rPr>
            </w:pPr>
            <w:r>
              <w:rPr>
                <w:rFonts w:ascii="Helvetica" w:eastAsia="Times New Roman" w:hAnsi="Helvetica" w:cs="Times New Roman"/>
                <w:sz w:val="24"/>
                <w:szCs w:val="24"/>
              </w:rPr>
              <w:t>0</w:t>
            </w:r>
            <w:r w:rsidR="000441E4" w:rsidRPr="002B36CC">
              <w:rPr>
                <w:rFonts w:ascii="Helvetica" w:eastAsia="Times New Roman" w:hAnsi="Helvetica" w:cs="Times New Roman"/>
                <w:sz w:val="24"/>
                <w:szCs w:val="24"/>
              </w:rPr>
              <w:t>.8</w:t>
            </w:r>
          </w:p>
        </w:tc>
      </w:tr>
      <w:tr w:rsidR="000441E4" w:rsidRPr="002B36CC" w14:paraId="51C0961A" w14:textId="77777777" w:rsidTr="00F25C12">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5E6E957" w14:textId="77777777" w:rsidR="000441E4" w:rsidRPr="00322A2F" w:rsidRDefault="000441E4" w:rsidP="00322A2F">
            <w:pPr>
              <w:widowControl w:val="0"/>
              <w:spacing w:after="0" w:line="240" w:lineRule="auto"/>
              <w:rPr>
                <w:rFonts w:ascii="Helvetica" w:eastAsia="Times New Roman" w:hAnsi="Helvetica" w:cs="Times New Roman"/>
                <w:b/>
                <w:bCs/>
                <w:sz w:val="24"/>
                <w:szCs w:val="24"/>
              </w:rPr>
            </w:pPr>
            <w:r w:rsidRPr="00322A2F">
              <w:rPr>
                <w:rFonts w:ascii="Helvetica" w:eastAsia="Times New Roman" w:hAnsi="Helvetica" w:cs="Times New Roman"/>
                <w:b/>
                <w:bCs/>
                <w:sz w:val="24"/>
                <w:szCs w:val="24"/>
              </w:rPr>
              <w:t xml:space="preserve">Ethnicity </w:t>
            </w:r>
          </w:p>
        </w:tc>
        <w:tc>
          <w:tcPr>
            <w:tcW w:w="13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69290E9" w14:textId="77777777" w:rsidR="000441E4" w:rsidRPr="002B36CC" w:rsidRDefault="000441E4" w:rsidP="00322A2F">
            <w:pPr>
              <w:widowControl w:val="0"/>
              <w:spacing w:after="0" w:line="240" w:lineRule="auto"/>
              <w:jc w:val="center"/>
              <w:rPr>
                <w:rFonts w:ascii="Helvetica" w:eastAsia="Times New Roman" w:hAnsi="Helvetica" w:cs="Times New Roman"/>
                <w:sz w:val="24"/>
                <w:szCs w:val="24"/>
              </w:rPr>
            </w:pPr>
          </w:p>
        </w:tc>
        <w:tc>
          <w:tcPr>
            <w:tcW w:w="15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FCE2078" w14:textId="77777777" w:rsidR="000441E4" w:rsidRPr="002B36CC" w:rsidRDefault="000441E4" w:rsidP="00322A2F">
            <w:pPr>
              <w:widowControl w:val="0"/>
              <w:spacing w:after="0" w:line="240" w:lineRule="auto"/>
              <w:jc w:val="center"/>
              <w:rPr>
                <w:rFonts w:ascii="Helvetica" w:eastAsia="Times New Roman" w:hAnsi="Helvetica" w:cs="Times New Roman"/>
                <w:sz w:val="24"/>
                <w:szCs w:val="24"/>
              </w:rPr>
            </w:pPr>
          </w:p>
        </w:tc>
      </w:tr>
      <w:tr w:rsidR="000441E4" w:rsidRPr="002B36CC" w14:paraId="684EF467" w14:textId="77777777" w:rsidTr="00F25C12">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44B3CAF" w14:textId="0720AEBD" w:rsidR="000441E4" w:rsidRPr="002B36CC" w:rsidRDefault="002A2D89" w:rsidP="00322A2F">
            <w:pPr>
              <w:widowControl w:val="0"/>
              <w:spacing w:after="0" w:line="240" w:lineRule="auto"/>
              <w:rPr>
                <w:rFonts w:ascii="Helvetica" w:eastAsia="Times New Roman" w:hAnsi="Helvetica" w:cs="Times New Roman"/>
                <w:sz w:val="24"/>
                <w:szCs w:val="24"/>
              </w:rPr>
            </w:pPr>
            <w:r w:rsidRPr="002B36CC">
              <w:rPr>
                <w:rFonts w:ascii="Helvetica" w:eastAsia="Times New Roman" w:hAnsi="Helvetica" w:cs="Times New Roman"/>
                <w:sz w:val="24"/>
                <w:szCs w:val="24"/>
              </w:rPr>
              <w:t xml:space="preserve">  </w:t>
            </w:r>
            <w:r w:rsidR="000441E4" w:rsidRPr="002B36CC">
              <w:rPr>
                <w:rFonts w:ascii="Helvetica" w:eastAsia="Times New Roman" w:hAnsi="Helvetica" w:cs="Times New Roman"/>
                <w:sz w:val="24"/>
                <w:szCs w:val="24"/>
              </w:rPr>
              <w:t xml:space="preserve"> Hispanic</w:t>
            </w:r>
          </w:p>
        </w:tc>
        <w:tc>
          <w:tcPr>
            <w:tcW w:w="13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563EC3A" w14:textId="77777777" w:rsidR="000441E4" w:rsidRPr="002B36CC" w:rsidRDefault="000441E4" w:rsidP="00322A2F">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2</w:t>
            </w:r>
          </w:p>
        </w:tc>
        <w:tc>
          <w:tcPr>
            <w:tcW w:w="15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56A4110" w14:textId="77777777" w:rsidR="000441E4" w:rsidRPr="002B36CC" w:rsidRDefault="000441E4" w:rsidP="00322A2F">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2.6</w:t>
            </w:r>
          </w:p>
        </w:tc>
      </w:tr>
      <w:tr w:rsidR="000441E4" w:rsidRPr="002B36CC" w14:paraId="49085402" w14:textId="77777777" w:rsidTr="00F25C12">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802FB58" w14:textId="48BC220C" w:rsidR="000441E4" w:rsidRPr="002B36CC" w:rsidRDefault="002A2D89" w:rsidP="00322A2F">
            <w:pPr>
              <w:widowControl w:val="0"/>
              <w:spacing w:after="0" w:line="240" w:lineRule="auto"/>
              <w:rPr>
                <w:rFonts w:ascii="Helvetica" w:eastAsia="Times New Roman" w:hAnsi="Helvetica" w:cs="Times New Roman"/>
                <w:sz w:val="24"/>
                <w:szCs w:val="24"/>
              </w:rPr>
            </w:pPr>
            <w:r w:rsidRPr="002B36CC">
              <w:rPr>
                <w:rFonts w:ascii="Helvetica" w:eastAsia="Times New Roman" w:hAnsi="Helvetica" w:cs="Times New Roman"/>
                <w:sz w:val="24"/>
                <w:szCs w:val="24"/>
              </w:rPr>
              <w:t xml:space="preserve">  </w:t>
            </w:r>
            <w:r w:rsidR="000441E4" w:rsidRPr="002B36CC">
              <w:rPr>
                <w:rFonts w:ascii="Helvetica" w:eastAsia="Times New Roman" w:hAnsi="Helvetica" w:cs="Times New Roman"/>
                <w:sz w:val="24"/>
                <w:szCs w:val="24"/>
              </w:rPr>
              <w:t xml:space="preserve"> Non-Hispanic</w:t>
            </w:r>
          </w:p>
        </w:tc>
        <w:tc>
          <w:tcPr>
            <w:tcW w:w="13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5713655" w14:textId="77777777" w:rsidR="000441E4" w:rsidRPr="002B36CC" w:rsidRDefault="000441E4" w:rsidP="00322A2F">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73</w:t>
            </w:r>
          </w:p>
        </w:tc>
        <w:tc>
          <w:tcPr>
            <w:tcW w:w="15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33E5324" w14:textId="77777777" w:rsidR="000441E4" w:rsidRPr="002B36CC" w:rsidRDefault="000441E4" w:rsidP="00322A2F">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97.4</w:t>
            </w:r>
          </w:p>
        </w:tc>
      </w:tr>
      <w:tr w:rsidR="000441E4" w:rsidRPr="002B36CC" w14:paraId="2BE7FF5D" w14:textId="77777777" w:rsidTr="00F25C12">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F8BB8F3" w14:textId="77777777" w:rsidR="000441E4" w:rsidRPr="00322A2F" w:rsidRDefault="000441E4" w:rsidP="00322A2F">
            <w:pPr>
              <w:widowControl w:val="0"/>
              <w:spacing w:after="0" w:line="240" w:lineRule="auto"/>
              <w:rPr>
                <w:rFonts w:ascii="Helvetica" w:eastAsia="Times New Roman" w:hAnsi="Helvetica" w:cs="Times New Roman"/>
                <w:b/>
                <w:bCs/>
                <w:sz w:val="24"/>
                <w:szCs w:val="24"/>
              </w:rPr>
            </w:pPr>
            <w:r w:rsidRPr="00322A2F">
              <w:rPr>
                <w:rFonts w:ascii="Helvetica" w:eastAsia="Times New Roman" w:hAnsi="Helvetica" w:cs="Times New Roman"/>
                <w:b/>
                <w:bCs/>
                <w:sz w:val="24"/>
                <w:szCs w:val="24"/>
              </w:rPr>
              <w:t xml:space="preserve">Race </w:t>
            </w:r>
          </w:p>
        </w:tc>
        <w:tc>
          <w:tcPr>
            <w:tcW w:w="13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E433585" w14:textId="77777777" w:rsidR="000441E4" w:rsidRPr="002B36CC" w:rsidRDefault="000441E4" w:rsidP="00322A2F">
            <w:pPr>
              <w:widowControl w:val="0"/>
              <w:spacing w:after="0" w:line="240" w:lineRule="auto"/>
              <w:jc w:val="center"/>
              <w:rPr>
                <w:rFonts w:ascii="Helvetica" w:eastAsia="Times New Roman" w:hAnsi="Helvetica" w:cs="Times New Roman"/>
                <w:sz w:val="24"/>
                <w:szCs w:val="24"/>
              </w:rPr>
            </w:pPr>
          </w:p>
        </w:tc>
        <w:tc>
          <w:tcPr>
            <w:tcW w:w="15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368F0BB" w14:textId="77777777" w:rsidR="000441E4" w:rsidRPr="002B36CC" w:rsidRDefault="000441E4" w:rsidP="00322A2F">
            <w:pPr>
              <w:widowControl w:val="0"/>
              <w:spacing w:after="0" w:line="240" w:lineRule="auto"/>
              <w:jc w:val="center"/>
              <w:rPr>
                <w:rFonts w:ascii="Helvetica" w:eastAsia="Times New Roman" w:hAnsi="Helvetica" w:cs="Times New Roman"/>
                <w:sz w:val="24"/>
                <w:szCs w:val="24"/>
              </w:rPr>
            </w:pPr>
          </w:p>
        </w:tc>
      </w:tr>
      <w:tr w:rsidR="000441E4" w:rsidRPr="002B36CC" w14:paraId="174F5B5B" w14:textId="77777777" w:rsidTr="00F25C12">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E3C6CEC" w14:textId="4A8EA118" w:rsidR="000441E4" w:rsidRPr="002B36CC" w:rsidRDefault="002A2D89" w:rsidP="00322A2F">
            <w:pPr>
              <w:widowControl w:val="0"/>
              <w:spacing w:after="0" w:line="240" w:lineRule="auto"/>
              <w:rPr>
                <w:rFonts w:ascii="Helvetica" w:eastAsia="Times New Roman" w:hAnsi="Helvetica" w:cs="Times New Roman"/>
                <w:sz w:val="24"/>
                <w:szCs w:val="24"/>
              </w:rPr>
            </w:pPr>
            <w:r w:rsidRPr="002B36CC">
              <w:rPr>
                <w:rFonts w:ascii="Helvetica" w:eastAsia="Times New Roman" w:hAnsi="Helvetica" w:cs="Times New Roman"/>
                <w:sz w:val="24"/>
                <w:szCs w:val="24"/>
              </w:rPr>
              <w:t xml:space="preserve">  </w:t>
            </w:r>
            <w:r w:rsidR="000441E4" w:rsidRPr="002B36CC">
              <w:rPr>
                <w:rFonts w:ascii="Helvetica" w:eastAsia="Times New Roman" w:hAnsi="Helvetica" w:cs="Times New Roman"/>
                <w:sz w:val="24"/>
                <w:szCs w:val="24"/>
              </w:rPr>
              <w:t xml:space="preserve"> Black/African American</w:t>
            </w:r>
          </w:p>
        </w:tc>
        <w:tc>
          <w:tcPr>
            <w:tcW w:w="13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F2B8747" w14:textId="77777777" w:rsidR="000441E4" w:rsidRPr="002B36CC" w:rsidRDefault="000441E4" w:rsidP="00322A2F">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11</w:t>
            </w:r>
          </w:p>
        </w:tc>
        <w:tc>
          <w:tcPr>
            <w:tcW w:w="15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3F19E35" w14:textId="77777777" w:rsidR="000441E4" w:rsidRPr="002B36CC" w:rsidRDefault="000441E4" w:rsidP="00322A2F">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10.5</w:t>
            </w:r>
          </w:p>
        </w:tc>
      </w:tr>
      <w:tr w:rsidR="000441E4" w:rsidRPr="002B36CC" w14:paraId="1162D79C" w14:textId="77777777" w:rsidTr="00F25C12">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A706E86" w14:textId="7F37DD5F" w:rsidR="000441E4" w:rsidRPr="002B36CC" w:rsidRDefault="002A2D89" w:rsidP="00322A2F">
            <w:pPr>
              <w:widowControl w:val="0"/>
              <w:spacing w:after="0" w:line="240" w:lineRule="auto"/>
              <w:rPr>
                <w:rFonts w:ascii="Helvetica" w:eastAsia="Times New Roman" w:hAnsi="Helvetica" w:cs="Times New Roman"/>
                <w:sz w:val="24"/>
                <w:szCs w:val="24"/>
              </w:rPr>
            </w:pPr>
            <w:r w:rsidRPr="002B36CC">
              <w:rPr>
                <w:rFonts w:ascii="Helvetica" w:eastAsia="Times New Roman" w:hAnsi="Helvetica" w:cs="Times New Roman"/>
                <w:sz w:val="24"/>
                <w:szCs w:val="24"/>
              </w:rPr>
              <w:t xml:space="preserve">  </w:t>
            </w:r>
            <w:r w:rsidR="000441E4" w:rsidRPr="002B36CC">
              <w:rPr>
                <w:rFonts w:ascii="Helvetica" w:eastAsia="Times New Roman" w:hAnsi="Helvetica" w:cs="Times New Roman"/>
                <w:sz w:val="24"/>
                <w:szCs w:val="24"/>
              </w:rPr>
              <w:t xml:space="preserve"> White</w:t>
            </w:r>
          </w:p>
        </w:tc>
        <w:tc>
          <w:tcPr>
            <w:tcW w:w="13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64CFAED" w14:textId="77777777" w:rsidR="000441E4" w:rsidRPr="002B36CC" w:rsidRDefault="000441E4" w:rsidP="00322A2F">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92</w:t>
            </w:r>
          </w:p>
        </w:tc>
        <w:tc>
          <w:tcPr>
            <w:tcW w:w="15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2430D51" w14:textId="77777777" w:rsidR="000441E4" w:rsidRPr="002B36CC" w:rsidRDefault="000441E4" w:rsidP="00322A2F">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87.6</w:t>
            </w:r>
          </w:p>
        </w:tc>
      </w:tr>
      <w:tr w:rsidR="000441E4" w:rsidRPr="002B36CC" w14:paraId="5956D76A" w14:textId="77777777" w:rsidTr="00F25C12">
        <w:tc>
          <w:tcPr>
            <w:tcW w:w="312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17F646D4" w14:textId="6D68966A" w:rsidR="000441E4" w:rsidRPr="002B36CC" w:rsidRDefault="002A2D89" w:rsidP="00322A2F">
            <w:pPr>
              <w:widowControl w:val="0"/>
              <w:spacing w:after="0" w:line="240" w:lineRule="auto"/>
              <w:rPr>
                <w:rFonts w:ascii="Helvetica" w:eastAsia="Times New Roman" w:hAnsi="Helvetica" w:cs="Times New Roman"/>
                <w:sz w:val="24"/>
                <w:szCs w:val="24"/>
              </w:rPr>
            </w:pPr>
            <w:r w:rsidRPr="002B36CC">
              <w:rPr>
                <w:rFonts w:ascii="Helvetica" w:eastAsia="Times New Roman" w:hAnsi="Helvetica" w:cs="Times New Roman"/>
                <w:sz w:val="24"/>
                <w:szCs w:val="24"/>
              </w:rPr>
              <w:t xml:space="preserve">  </w:t>
            </w:r>
            <w:r w:rsidR="000441E4" w:rsidRPr="002B36CC">
              <w:rPr>
                <w:rFonts w:ascii="Helvetica" w:eastAsia="Times New Roman" w:hAnsi="Helvetica" w:cs="Times New Roman"/>
                <w:sz w:val="24"/>
                <w:szCs w:val="24"/>
              </w:rPr>
              <w:t xml:space="preserve"> Two or More Races</w:t>
            </w:r>
          </w:p>
        </w:tc>
        <w:tc>
          <w:tcPr>
            <w:tcW w:w="133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5E07ED9C" w14:textId="77777777" w:rsidR="000441E4" w:rsidRPr="002B36CC" w:rsidRDefault="000441E4" w:rsidP="00322A2F">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2</w:t>
            </w:r>
          </w:p>
        </w:tc>
        <w:tc>
          <w:tcPr>
            <w:tcW w:w="151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71335528" w14:textId="77777777" w:rsidR="000441E4" w:rsidRPr="002B36CC" w:rsidRDefault="000441E4" w:rsidP="00322A2F">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1.9</w:t>
            </w:r>
          </w:p>
        </w:tc>
      </w:tr>
    </w:tbl>
    <w:p w14:paraId="13B56932" w14:textId="77777777" w:rsidR="00AD6747" w:rsidRPr="002B36CC" w:rsidRDefault="00AD6747" w:rsidP="00AD6747">
      <w:pPr>
        <w:shd w:val="clear" w:color="auto" w:fill="FFFFFF"/>
        <w:spacing w:after="0" w:line="360" w:lineRule="auto"/>
        <w:rPr>
          <w:rFonts w:ascii="Helvetica" w:eastAsia="Times New Roman" w:hAnsi="Helvetica" w:cs="Times New Roman"/>
          <w:sz w:val="24"/>
          <w:szCs w:val="24"/>
        </w:rPr>
      </w:pPr>
    </w:p>
    <w:p w14:paraId="5B917CA9" w14:textId="77777777" w:rsidR="00322A2F" w:rsidRDefault="00322A2F" w:rsidP="00AD6747">
      <w:pPr>
        <w:shd w:val="clear" w:color="auto" w:fill="FFFFFF"/>
        <w:spacing w:after="0" w:line="360" w:lineRule="auto"/>
        <w:rPr>
          <w:rFonts w:ascii="Helvetica" w:eastAsia="Times New Roman" w:hAnsi="Helvetica" w:cs="Times New Roman"/>
          <w:sz w:val="24"/>
          <w:szCs w:val="24"/>
        </w:rPr>
      </w:pPr>
    </w:p>
    <w:p w14:paraId="00000041" w14:textId="4B2EC03B" w:rsidR="009E303A" w:rsidRPr="002B36CC" w:rsidRDefault="00D61885" w:rsidP="00AD6747">
      <w:pPr>
        <w:shd w:val="clear" w:color="auto" w:fill="FFFFFF"/>
        <w:spacing w:after="0" w:line="360" w:lineRule="auto"/>
        <w:rPr>
          <w:rFonts w:ascii="Helvetica" w:eastAsia="Times New Roman" w:hAnsi="Helvetica" w:cs="Times New Roman"/>
          <w:sz w:val="24"/>
          <w:szCs w:val="24"/>
        </w:rPr>
      </w:pPr>
      <w:r w:rsidRPr="002B36CC">
        <w:rPr>
          <w:rFonts w:ascii="Helvetica" w:eastAsia="Times New Roman" w:hAnsi="Helvetica" w:cs="Times New Roman"/>
          <w:sz w:val="24"/>
          <w:szCs w:val="24"/>
        </w:rPr>
        <w:t>Researchers</w:t>
      </w:r>
      <w:r w:rsidR="002A5132" w:rsidRPr="002B36CC">
        <w:rPr>
          <w:rFonts w:ascii="Helvetica" w:eastAsia="Times New Roman" w:hAnsi="Helvetica" w:cs="Times New Roman"/>
          <w:sz w:val="24"/>
          <w:szCs w:val="24"/>
        </w:rPr>
        <w:t xml:space="preserve"> asked</w:t>
      </w:r>
      <w:r w:rsidRPr="002B36CC">
        <w:rPr>
          <w:rFonts w:ascii="Helvetica" w:eastAsia="Times New Roman" w:hAnsi="Helvetica" w:cs="Times New Roman"/>
          <w:sz w:val="24"/>
          <w:szCs w:val="24"/>
        </w:rPr>
        <w:t xml:space="preserve"> the type of insurance plan participants selected</w:t>
      </w:r>
      <w:r w:rsidR="002A5132" w:rsidRPr="002B36CC">
        <w:rPr>
          <w:rFonts w:ascii="Helvetica" w:eastAsia="Times New Roman" w:hAnsi="Helvetica" w:cs="Times New Roman"/>
          <w:sz w:val="24"/>
          <w:szCs w:val="24"/>
        </w:rPr>
        <w:t xml:space="preserve"> for the current year.</w:t>
      </w:r>
      <w:r w:rsidR="002A2D89" w:rsidRPr="002B36CC">
        <w:rPr>
          <w:rFonts w:ascii="Helvetica" w:eastAsia="Times New Roman" w:hAnsi="Helvetica" w:cs="Times New Roman"/>
          <w:sz w:val="24"/>
          <w:szCs w:val="24"/>
        </w:rPr>
        <w:t xml:space="preserve"> </w:t>
      </w:r>
      <w:r w:rsidRPr="002B36CC">
        <w:rPr>
          <w:rFonts w:ascii="Helvetica" w:eastAsia="Times New Roman" w:hAnsi="Helvetica" w:cs="Times New Roman"/>
          <w:sz w:val="24"/>
          <w:szCs w:val="24"/>
        </w:rPr>
        <w:t>The majority of participants indicated</w:t>
      </w:r>
      <w:r w:rsidR="002A5132" w:rsidRPr="002B36CC">
        <w:rPr>
          <w:rFonts w:ascii="Helvetica" w:eastAsia="Times New Roman" w:hAnsi="Helvetica" w:cs="Times New Roman"/>
          <w:sz w:val="24"/>
          <w:szCs w:val="24"/>
        </w:rPr>
        <w:t xml:space="preserve"> an employer based health insurance plan.</w:t>
      </w:r>
      <w:r w:rsidR="002A2D89" w:rsidRPr="002B36CC">
        <w:rPr>
          <w:rFonts w:ascii="Helvetica" w:eastAsia="Times New Roman" w:hAnsi="Helvetica" w:cs="Times New Roman"/>
          <w:sz w:val="24"/>
          <w:szCs w:val="24"/>
        </w:rPr>
        <w:t xml:space="preserve"> </w:t>
      </w:r>
      <w:r w:rsidR="002A5132" w:rsidRPr="002B36CC">
        <w:rPr>
          <w:rFonts w:ascii="Helvetica" w:eastAsia="Times New Roman" w:hAnsi="Helvetica" w:cs="Times New Roman"/>
          <w:sz w:val="24"/>
          <w:szCs w:val="24"/>
        </w:rPr>
        <w:t xml:space="preserve">Over </w:t>
      </w:r>
      <w:r w:rsidR="002A5132" w:rsidRPr="002B36CC">
        <w:rPr>
          <w:rFonts w:ascii="Helvetica" w:eastAsia="Times New Roman" w:hAnsi="Helvetica" w:cs="Times New Roman"/>
          <w:sz w:val="24"/>
          <w:szCs w:val="24"/>
        </w:rPr>
        <w:lastRenderedPageBreak/>
        <w:t>half of the participants currently had a vision plan and a dental plan.</w:t>
      </w:r>
      <w:r w:rsidR="002A2D89" w:rsidRPr="002B36CC">
        <w:rPr>
          <w:rFonts w:ascii="Helvetica" w:eastAsia="Times New Roman" w:hAnsi="Helvetica" w:cs="Times New Roman"/>
          <w:sz w:val="24"/>
          <w:szCs w:val="24"/>
        </w:rPr>
        <w:t xml:space="preserve"> </w:t>
      </w:r>
      <w:r w:rsidR="002A5132" w:rsidRPr="002B36CC">
        <w:rPr>
          <w:rFonts w:ascii="Helvetica" w:eastAsia="Times New Roman" w:hAnsi="Helvetica" w:cs="Times New Roman"/>
          <w:sz w:val="24"/>
          <w:szCs w:val="24"/>
        </w:rPr>
        <w:t>See Table 2 for a summary of the insurance plans of the participants.</w:t>
      </w:r>
      <w:r w:rsidR="002A2D89" w:rsidRPr="002B36CC">
        <w:rPr>
          <w:rFonts w:ascii="Helvetica" w:eastAsia="Times New Roman" w:hAnsi="Helvetica" w:cs="Times New Roman"/>
          <w:sz w:val="24"/>
          <w:szCs w:val="24"/>
        </w:rPr>
        <w:t xml:space="preserve"> </w:t>
      </w:r>
    </w:p>
    <w:p w14:paraId="7B4C7DDC" w14:textId="77777777" w:rsidR="000441E4" w:rsidRPr="002B36CC" w:rsidRDefault="000441E4" w:rsidP="00AD6747">
      <w:pPr>
        <w:shd w:val="clear" w:color="auto" w:fill="FFFFFF"/>
        <w:spacing w:after="0" w:line="360" w:lineRule="auto"/>
        <w:rPr>
          <w:rFonts w:ascii="Helvetica" w:eastAsia="Times New Roman" w:hAnsi="Helvetica" w:cs="Times New Roman"/>
          <w:sz w:val="24"/>
          <w:szCs w:val="24"/>
        </w:rPr>
      </w:pPr>
    </w:p>
    <w:p w14:paraId="7AA3D18B" w14:textId="53093782" w:rsidR="000441E4" w:rsidRPr="002B36CC" w:rsidRDefault="000441E4" w:rsidP="000441E4">
      <w:pPr>
        <w:shd w:val="clear" w:color="auto" w:fill="FFFFFF"/>
        <w:spacing w:after="0" w:line="240" w:lineRule="auto"/>
        <w:rPr>
          <w:rFonts w:ascii="Helvetica" w:eastAsia="Times New Roman" w:hAnsi="Helvetica" w:cs="Times New Roman"/>
          <w:b/>
          <w:sz w:val="24"/>
          <w:szCs w:val="24"/>
        </w:rPr>
      </w:pPr>
    </w:p>
    <w:p w14:paraId="79AAB6E8" w14:textId="27422541" w:rsidR="000441E4" w:rsidRPr="00030692" w:rsidRDefault="00030692" w:rsidP="000441E4">
      <w:pPr>
        <w:shd w:val="clear" w:color="auto" w:fill="FFFFFF"/>
        <w:spacing w:after="0" w:line="240" w:lineRule="auto"/>
        <w:rPr>
          <w:rFonts w:ascii="Helvetica" w:eastAsia="Times New Roman" w:hAnsi="Helvetica" w:cs="Times New Roman"/>
          <w:iCs/>
          <w:sz w:val="24"/>
          <w:szCs w:val="24"/>
        </w:rPr>
      </w:pPr>
      <w:r>
        <w:rPr>
          <w:rFonts w:ascii="Helvetica" w:eastAsia="Times New Roman" w:hAnsi="Helvetica" w:cs="Times New Roman"/>
          <w:b/>
          <w:bCs/>
          <w:iCs/>
          <w:sz w:val="24"/>
          <w:szCs w:val="24"/>
        </w:rPr>
        <w:t xml:space="preserve">Table 2. </w:t>
      </w:r>
      <w:r w:rsidR="000441E4" w:rsidRPr="00030692">
        <w:rPr>
          <w:rFonts w:ascii="Helvetica" w:eastAsia="Times New Roman" w:hAnsi="Helvetica" w:cs="Times New Roman"/>
          <w:iCs/>
          <w:sz w:val="24"/>
          <w:szCs w:val="24"/>
        </w:rPr>
        <w:t>Insurance Plans Currently Enrolled (Check All That Apply Question)</w:t>
      </w:r>
    </w:p>
    <w:p w14:paraId="2537D466" w14:textId="77777777" w:rsidR="000441E4" w:rsidRPr="002B36CC" w:rsidRDefault="000441E4" w:rsidP="000441E4">
      <w:pPr>
        <w:shd w:val="clear" w:color="auto" w:fill="FFFFFF"/>
        <w:spacing w:after="0" w:line="240" w:lineRule="auto"/>
        <w:rPr>
          <w:rFonts w:ascii="Helvetica" w:eastAsia="Times New Roman" w:hAnsi="Helvetica" w:cs="Times New Roman"/>
          <w:sz w:val="24"/>
          <w:szCs w:val="24"/>
        </w:rPr>
      </w:pPr>
    </w:p>
    <w:tbl>
      <w:tblPr>
        <w:tblW w:w="5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1275"/>
        <w:gridCol w:w="1215"/>
      </w:tblGrid>
      <w:tr w:rsidR="000441E4" w:rsidRPr="002B36CC" w14:paraId="51C240C3" w14:textId="77777777" w:rsidTr="00F25C12">
        <w:tc>
          <w:tcPr>
            <w:tcW w:w="312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69DC191B" w14:textId="77777777" w:rsidR="000441E4" w:rsidRPr="00030692" w:rsidRDefault="000441E4" w:rsidP="00030692">
            <w:pPr>
              <w:widowControl w:val="0"/>
              <w:spacing w:after="0" w:line="240" w:lineRule="auto"/>
              <w:rPr>
                <w:rFonts w:ascii="Helvetica" w:eastAsia="Times New Roman" w:hAnsi="Helvetica" w:cs="Times New Roman"/>
                <w:b/>
                <w:bCs/>
                <w:sz w:val="24"/>
                <w:szCs w:val="24"/>
              </w:rPr>
            </w:pPr>
            <w:r w:rsidRPr="00030692">
              <w:rPr>
                <w:rFonts w:ascii="Helvetica" w:eastAsia="Times New Roman" w:hAnsi="Helvetica" w:cs="Times New Roman"/>
                <w:b/>
                <w:bCs/>
                <w:sz w:val="24"/>
                <w:szCs w:val="24"/>
              </w:rPr>
              <w:t>Health Insurance Plan Type</w:t>
            </w:r>
          </w:p>
        </w:tc>
        <w:tc>
          <w:tcPr>
            <w:tcW w:w="127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3BBC08A9" w14:textId="77777777" w:rsidR="000441E4" w:rsidRPr="002B36CC" w:rsidRDefault="000441E4" w:rsidP="00030692">
            <w:pPr>
              <w:widowControl w:val="0"/>
              <w:spacing w:after="0" w:line="240" w:lineRule="auto"/>
              <w:jc w:val="center"/>
              <w:rPr>
                <w:rFonts w:ascii="Helvetica" w:eastAsia="Times New Roman" w:hAnsi="Helvetica" w:cs="Times New Roman"/>
                <w:i/>
                <w:sz w:val="24"/>
                <w:szCs w:val="24"/>
              </w:rPr>
            </w:pPr>
            <w:r w:rsidRPr="002B36CC">
              <w:rPr>
                <w:rFonts w:ascii="Helvetica" w:eastAsia="Times New Roman" w:hAnsi="Helvetica" w:cs="Times New Roman"/>
                <w:i/>
                <w:sz w:val="24"/>
                <w:szCs w:val="24"/>
              </w:rPr>
              <w:t>n</w:t>
            </w:r>
          </w:p>
        </w:tc>
        <w:tc>
          <w:tcPr>
            <w:tcW w:w="121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37A50BCB" w14:textId="77777777" w:rsidR="000441E4" w:rsidRPr="002B36CC" w:rsidRDefault="000441E4" w:rsidP="00030692">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cases %</w:t>
            </w:r>
          </w:p>
        </w:tc>
      </w:tr>
      <w:tr w:rsidR="000441E4" w:rsidRPr="002B36CC" w14:paraId="253BBF58" w14:textId="77777777" w:rsidTr="00F25C12">
        <w:tc>
          <w:tcPr>
            <w:tcW w:w="31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3B66C3" w14:textId="5E68A187" w:rsidR="000441E4" w:rsidRPr="002B36CC" w:rsidRDefault="002A2D89" w:rsidP="00030692">
            <w:pPr>
              <w:widowControl w:val="0"/>
              <w:spacing w:after="0" w:line="240" w:lineRule="auto"/>
              <w:rPr>
                <w:rFonts w:ascii="Helvetica" w:eastAsia="Times New Roman" w:hAnsi="Helvetica" w:cs="Times New Roman"/>
                <w:sz w:val="24"/>
                <w:szCs w:val="24"/>
              </w:rPr>
            </w:pPr>
            <w:r w:rsidRPr="002B36CC">
              <w:rPr>
                <w:rFonts w:ascii="Helvetica" w:eastAsia="Times New Roman" w:hAnsi="Helvetica" w:cs="Times New Roman"/>
                <w:sz w:val="24"/>
                <w:szCs w:val="24"/>
              </w:rPr>
              <w:t xml:space="preserve">  </w:t>
            </w:r>
            <w:r w:rsidR="000441E4" w:rsidRPr="002B36CC">
              <w:rPr>
                <w:rFonts w:ascii="Helvetica" w:eastAsia="Times New Roman" w:hAnsi="Helvetica" w:cs="Times New Roman"/>
                <w:sz w:val="24"/>
                <w:szCs w:val="24"/>
              </w:rPr>
              <w:t xml:space="preserve"> Employer Based</w:t>
            </w:r>
          </w:p>
        </w:tc>
        <w:tc>
          <w:tcPr>
            <w:tcW w:w="127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5E20C3A" w14:textId="77777777" w:rsidR="000441E4" w:rsidRPr="002B36CC" w:rsidRDefault="000441E4" w:rsidP="00030692">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99</w:t>
            </w:r>
          </w:p>
        </w:tc>
        <w:tc>
          <w:tcPr>
            <w:tcW w:w="121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BFBC831" w14:textId="77777777" w:rsidR="000441E4" w:rsidRPr="002B36CC" w:rsidRDefault="000441E4" w:rsidP="00030692">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86.8</w:t>
            </w:r>
          </w:p>
        </w:tc>
      </w:tr>
      <w:tr w:rsidR="000441E4" w:rsidRPr="002B36CC" w14:paraId="6ABABD74" w14:textId="77777777" w:rsidTr="00F25C12">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2847A6" w14:textId="22E7214B" w:rsidR="000441E4" w:rsidRPr="002B36CC" w:rsidRDefault="002A2D89" w:rsidP="00030692">
            <w:pPr>
              <w:widowControl w:val="0"/>
              <w:spacing w:after="0" w:line="240" w:lineRule="auto"/>
              <w:rPr>
                <w:rFonts w:ascii="Helvetica" w:eastAsia="Times New Roman" w:hAnsi="Helvetica" w:cs="Times New Roman"/>
                <w:sz w:val="24"/>
                <w:szCs w:val="24"/>
              </w:rPr>
            </w:pPr>
            <w:r w:rsidRPr="002B36CC">
              <w:rPr>
                <w:rFonts w:ascii="Helvetica" w:eastAsia="Times New Roman" w:hAnsi="Helvetica" w:cs="Times New Roman"/>
                <w:sz w:val="24"/>
                <w:szCs w:val="24"/>
              </w:rPr>
              <w:t xml:space="preserve">  </w:t>
            </w:r>
            <w:r w:rsidR="000441E4" w:rsidRPr="002B36CC">
              <w:rPr>
                <w:rFonts w:ascii="Helvetica" w:eastAsia="Times New Roman" w:hAnsi="Helvetica" w:cs="Times New Roman"/>
                <w:sz w:val="24"/>
                <w:szCs w:val="24"/>
              </w:rPr>
              <w:t xml:space="preserve"> Original Medicare (A&amp;B)</w:t>
            </w:r>
          </w:p>
        </w:tc>
        <w:tc>
          <w:tcPr>
            <w:tcW w:w="12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515305" w14:textId="77777777" w:rsidR="000441E4" w:rsidRPr="002B36CC" w:rsidRDefault="000441E4" w:rsidP="00030692">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20</w:t>
            </w:r>
          </w:p>
        </w:tc>
        <w:tc>
          <w:tcPr>
            <w:tcW w:w="12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EEAA4A2" w14:textId="77777777" w:rsidR="000441E4" w:rsidRPr="002B36CC" w:rsidRDefault="000441E4" w:rsidP="00030692">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17.5</w:t>
            </w:r>
          </w:p>
        </w:tc>
      </w:tr>
      <w:tr w:rsidR="000441E4" w:rsidRPr="002B36CC" w14:paraId="6F97785F" w14:textId="77777777" w:rsidTr="00F25C12">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9030CD8" w14:textId="0B8D1404" w:rsidR="000441E4" w:rsidRPr="002B36CC" w:rsidRDefault="002A2D89" w:rsidP="00030692">
            <w:pPr>
              <w:widowControl w:val="0"/>
              <w:spacing w:after="0" w:line="240" w:lineRule="auto"/>
              <w:rPr>
                <w:rFonts w:ascii="Helvetica" w:eastAsia="Times New Roman" w:hAnsi="Helvetica" w:cs="Times New Roman"/>
                <w:sz w:val="24"/>
                <w:szCs w:val="24"/>
              </w:rPr>
            </w:pPr>
            <w:r w:rsidRPr="002B36CC">
              <w:rPr>
                <w:rFonts w:ascii="Helvetica" w:eastAsia="Times New Roman" w:hAnsi="Helvetica" w:cs="Times New Roman"/>
                <w:sz w:val="24"/>
                <w:szCs w:val="24"/>
              </w:rPr>
              <w:t xml:space="preserve">  </w:t>
            </w:r>
            <w:r w:rsidR="000441E4" w:rsidRPr="002B36CC">
              <w:rPr>
                <w:rFonts w:ascii="Helvetica" w:eastAsia="Times New Roman" w:hAnsi="Helvetica" w:cs="Times New Roman"/>
                <w:sz w:val="24"/>
                <w:szCs w:val="24"/>
              </w:rPr>
              <w:t xml:space="preserve"> Medigap/Supplemental</w:t>
            </w:r>
          </w:p>
        </w:tc>
        <w:tc>
          <w:tcPr>
            <w:tcW w:w="12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5107E0E" w14:textId="77777777" w:rsidR="000441E4" w:rsidRPr="002B36CC" w:rsidRDefault="000441E4" w:rsidP="00030692">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5</w:t>
            </w:r>
          </w:p>
        </w:tc>
        <w:tc>
          <w:tcPr>
            <w:tcW w:w="12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C0B2C9" w14:textId="77777777" w:rsidR="000441E4" w:rsidRPr="002B36CC" w:rsidRDefault="000441E4" w:rsidP="00030692">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4.4</w:t>
            </w:r>
          </w:p>
        </w:tc>
      </w:tr>
      <w:tr w:rsidR="000441E4" w:rsidRPr="002B36CC" w14:paraId="67303020" w14:textId="77777777" w:rsidTr="00F25C12">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0F1CCEC" w14:textId="391DABF9" w:rsidR="000441E4" w:rsidRPr="002B36CC" w:rsidRDefault="002A2D89" w:rsidP="00030692">
            <w:pPr>
              <w:widowControl w:val="0"/>
              <w:spacing w:after="0" w:line="240" w:lineRule="auto"/>
              <w:rPr>
                <w:rFonts w:ascii="Helvetica" w:eastAsia="Times New Roman" w:hAnsi="Helvetica" w:cs="Times New Roman"/>
                <w:sz w:val="24"/>
                <w:szCs w:val="24"/>
              </w:rPr>
            </w:pPr>
            <w:r w:rsidRPr="002B36CC">
              <w:rPr>
                <w:rFonts w:ascii="Helvetica" w:eastAsia="Times New Roman" w:hAnsi="Helvetica" w:cs="Times New Roman"/>
                <w:sz w:val="24"/>
                <w:szCs w:val="24"/>
              </w:rPr>
              <w:t xml:space="preserve">  </w:t>
            </w:r>
            <w:r w:rsidR="000441E4" w:rsidRPr="002B36CC">
              <w:rPr>
                <w:rFonts w:ascii="Helvetica" w:eastAsia="Times New Roman" w:hAnsi="Helvetica" w:cs="Times New Roman"/>
                <w:sz w:val="24"/>
                <w:szCs w:val="24"/>
              </w:rPr>
              <w:t xml:space="preserve"> Medicare Advantage (C)</w:t>
            </w:r>
          </w:p>
        </w:tc>
        <w:tc>
          <w:tcPr>
            <w:tcW w:w="12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4F4FAD" w14:textId="77777777" w:rsidR="000441E4" w:rsidRPr="002B36CC" w:rsidRDefault="000441E4" w:rsidP="00030692">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3</w:t>
            </w:r>
          </w:p>
        </w:tc>
        <w:tc>
          <w:tcPr>
            <w:tcW w:w="12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8B086CD" w14:textId="77777777" w:rsidR="000441E4" w:rsidRPr="002B36CC" w:rsidRDefault="000441E4" w:rsidP="00030692">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2.6</w:t>
            </w:r>
          </w:p>
        </w:tc>
      </w:tr>
      <w:tr w:rsidR="000441E4" w:rsidRPr="002B36CC" w14:paraId="62E3484E" w14:textId="77777777" w:rsidTr="00F25C12">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EB32AAB" w14:textId="303EF69F" w:rsidR="000441E4" w:rsidRPr="002B36CC" w:rsidRDefault="002A2D89" w:rsidP="00030692">
            <w:pPr>
              <w:widowControl w:val="0"/>
              <w:spacing w:after="0" w:line="240" w:lineRule="auto"/>
              <w:rPr>
                <w:rFonts w:ascii="Helvetica" w:eastAsia="Times New Roman" w:hAnsi="Helvetica" w:cs="Times New Roman"/>
                <w:sz w:val="24"/>
                <w:szCs w:val="24"/>
              </w:rPr>
            </w:pPr>
            <w:r w:rsidRPr="002B36CC">
              <w:rPr>
                <w:rFonts w:ascii="Helvetica" w:eastAsia="Times New Roman" w:hAnsi="Helvetica" w:cs="Times New Roman"/>
                <w:sz w:val="24"/>
                <w:szCs w:val="24"/>
              </w:rPr>
              <w:t xml:space="preserve">  </w:t>
            </w:r>
            <w:r w:rsidR="000441E4" w:rsidRPr="002B36CC">
              <w:rPr>
                <w:rFonts w:ascii="Helvetica" w:eastAsia="Times New Roman" w:hAnsi="Helvetica" w:cs="Times New Roman"/>
                <w:sz w:val="24"/>
                <w:szCs w:val="24"/>
              </w:rPr>
              <w:t xml:space="preserve"> Prescription Plan</w:t>
            </w:r>
          </w:p>
        </w:tc>
        <w:tc>
          <w:tcPr>
            <w:tcW w:w="12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A78C34D" w14:textId="77777777" w:rsidR="000441E4" w:rsidRPr="002B36CC" w:rsidRDefault="000441E4" w:rsidP="00030692">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17</w:t>
            </w:r>
          </w:p>
        </w:tc>
        <w:tc>
          <w:tcPr>
            <w:tcW w:w="12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5E9515E" w14:textId="77777777" w:rsidR="000441E4" w:rsidRPr="002B36CC" w:rsidRDefault="000441E4" w:rsidP="00030692">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14.9</w:t>
            </w:r>
          </w:p>
        </w:tc>
      </w:tr>
      <w:tr w:rsidR="000441E4" w:rsidRPr="002B36CC" w14:paraId="0714D269" w14:textId="77777777" w:rsidTr="00F25C12">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59CB47" w14:textId="23308BC4" w:rsidR="000441E4" w:rsidRPr="002B36CC" w:rsidRDefault="002A2D89" w:rsidP="00030692">
            <w:pPr>
              <w:widowControl w:val="0"/>
              <w:spacing w:after="0" w:line="240" w:lineRule="auto"/>
              <w:rPr>
                <w:rFonts w:ascii="Helvetica" w:eastAsia="Times New Roman" w:hAnsi="Helvetica" w:cs="Times New Roman"/>
                <w:sz w:val="24"/>
                <w:szCs w:val="24"/>
              </w:rPr>
            </w:pPr>
            <w:r w:rsidRPr="002B36CC">
              <w:rPr>
                <w:rFonts w:ascii="Helvetica" w:eastAsia="Times New Roman" w:hAnsi="Helvetica" w:cs="Times New Roman"/>
                <w:sz w:val="24"/>
                <w:szCs w:val="24"/>
              </w:rPr>
              <w:t xml:space="preserve">  </w:t>
            </w:r>
            <w:r w:rsidR="000441E4" w:rsidRPr="002B36CC">
              <w:rPr>
                <w:rFonts w:ascii="Helvetica" w:eastAsia="Times New Roman" w:hAnsi="Helvetica" w:cs="Times New Roman"/>
                <w:sz w:val="24"/>
                <w:szCs w:val="24"/>
              </w:rPr>
              <w:t xml:space="preserve"> Vision Plan</w:t>
            </w:r>
          </w:p>
        </w:tc>
        <w:tc>
          <w:tcPr>
            <w:tcW w:w="12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3D82EB2" w14:textId="77777777" w:rsidR="000441E4" w:rsidRPr="002B36CC" w:rsidRDefault="000441E4" w:rsidP="00030692">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69</w:t>
            </w:r>
          </w:p>
        </w:tc>
        <w:tc>
          <w:tcPr>
            <w:tcW w:w="12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7843C94" w14:textId="77777777" w:rsidR="000441E4" w:rsidRPr="002B36CC" w:rsidRDefault="000441E4" w:rsidP="00030692">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60.5</w:t>
            </w:r>
          </w:p>
        </w:tc>
      </w:tr>
      <w:tr w:rsidR="000441E4" w:rsidRPr="002B36CC" w14:paraId="284AF757" w14:textId="77777777" w:rsidTr="00F25C12">
        <w:tc>
          <w:tcPr>
            <w:tcW w:w="312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44D8B50D" w14:textId="251656B1" w:rsidR="000441E4" w:rsidRPr="002B36CC" w:rsidRDefault="002A2D89" w:rsidP="00030692">
            <w:pPr>
              <w:widowControl w:val="0"/>
              <w:spacing w:after="0" w:line="240" w:lineRule="auto"/>
              <w:rPr>
                <w:rFonts w:ascii="Helvetica" w:eastAsia="Times New Roman" w:hAnsi="Helvetica" w:cs="Times New Roman"/>
                <w:sz w:val="24"/>
                <w:szCs w:val="24"/>
              </w:rPr>
            </w:pPr>
            <w:r w:rsidRPr="002B36CC">
              <w:rPr>
                <w:rFonts w:ascii="Helvetica" w:eastAsia="Times New Roman" w:hAnsi="Helvetica" w:cs="Times New Roman"/>
                <w:sz w:val="24"/>
                <w:szCs w:val="24"/>
              </w:rPr>
              <w:t xml:space="preserve">  </w:t>
            </w:r>
            <w:r w:rsidR="000441E4" w:rsidRPr="002B36CC">
              <w:rPr>
                <w:rFonts w:ascii="Helvetica" w:eastAsia="Times New Roman" w:hAnsi="Helvetica" w:cs="Times New Roman"/>
                <w:sz w:val="24"/>
                <w:szCs w:val="24"/>
              </w:rPr>
              <w:t xml:space="preserve"> Dental Plan</w:t>
            </w:r>
          </w:p>
        </w:tc>
        <w:tc>
          <w:tcPr>
            <w:tcW w:w="127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48A68252" w14:textId="77777777" w:rsidR="000441E4" w:rsidRPr="002B36CC" w:rsidRDefault="000441E4" w:rsidP="00030692">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76</w:t>
            </w:r>
          </w:p>
        </w:tc>
        <w:tc>
          <w:tcPr>
            <w:tcW w:w="121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36E27262" w14:textId="77777777" w:rsidR="000441E4" w:rsidRPr="002B36CC" w:rsidRDefault="000441E4" w:rsidP="00030692">
            <w:pPr>
              <w:widowControl w:val="0"/>
              <w:spacing w:after="0"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66.7</w:t>
            </w:r>
          </w:p>
        </w:tc>
      </w:tr>
    </w:tbl>
    <w:p w14:paraId="5EFF80FF" w14:textId="77777777" w:rsidR="000441E4" w:rsidRPr="002B36CC" w:rsidRDefault="000441E4" w:rsidP="000441E4">
      <w:pPr>
        <w:rPr>
          <w:rFonts w:ascii="Helvetica" w:eastAsia="Times New Roman" w:hAnsi="Helvetica" w:cs="Times New Roman"/>
          <w:sz w:val="24"/>
          <w:szCs w:val="24"/>
        </w:rPr>
      </w:pPr>
    </w:p>
    <w:p w14:paraId="771F8B76" w14:textId="77777777" w:rsidR="00AD6747" w:rsidRPr="002B36CC" w:rsidRDefault="00AD6747" w:rsidP="00AD6747">
      <w:pPr>
        <w:shd w:val="clear" w:color="auto" w:fill="FFFFFF"/>
        <w:spacing w:after="0" w:line="360" w:lineRule="auto"/>
        <w:rPr>
          <w:rFonts w:ascii="Helvetica" w:eastAsia="Times New Roman" w:hAnsi="Helvetica" w:cs="Times New Roman"/>
          <w:sz w:val="24"/>
          <w:szCs w:val="24"/>
        </w:rPr>
      </w:pPr>
    </w:p>
    <w:p w14:paraId="00000042" w14:textId="0C17A8B1" w:rsidR="009E303A" w:rsidRPr="002B36CC" w:rsidRDefault="002A5132" w:rsidP="00AD6747">
      <w:pPr>
        <w:shd w:val="clear" w:color="auto" w:fill="FFFFFF"/>
        <w:spacing w:after="0" w:line="360" w:lineRule="auto"/>
        <w:rPr>
          <w:rFonts w:ascii="Helvetica" w:eastAsia="Times New Roman" w:hAnsi="Helvetica" w:cs="Times New Roman"/>
          <w:sz w:val="24"/>
          <w:szCs w:val="24"/>
          <w:shd w:val="clear" w:color="auto" w:fill="FCFCFC"/>
        </w:rPr>
      </w:pPr>
      <w:r w:rsidRPr="002B36CC">
        <w:rPr>
          <w:rFonts w:ascii="Helvetica" w:eastAsia="Times New Roman" w:hAnsi="Helvetica" w:cs="Times New Roman"/>
          <w:sz w:val="24"/>
          <w:szCs w:val="24"/>
        </w:rPr>
        <w:t xml:space="preserve">In this study, Cronbach’s coefficient </w:t>
      </w:r>
      <w:r w:rsidRPr="002B36CC">
        <w:rPr>
          <w:rFonts w:ascii="Helvetica" w:eastAsia="Times New Roman" w:hAnsi="Helvetica" w:cs="Times New Roman"/>
          <w:sz w:val="24"/>
          <w:szCs w:val="24"/>
          <w:shd w:val="clear" w:color="auto" w:fill="FCFCFC"/>
        </w:rPr>
        <w:t>α was used to calculate the internal consistency coefficients of the pre and post survey questions regarding participants’ confidence and likelihood of making health insurance decisions in their senior years.</w:t>
      </w:r>
      <w:r w:rsidR="002A2D89" w:rsidRPr="002B36CC">
        <w:rPr>
          <w:rFonts w:ascii="Helvetica" w:eastAsia="Times New Roman" w:hAnsi="Helvetica" w:cs="Times New Roman"/>
          <w:sz w:val="24"/>
          <w:szCs w:val="24"/>
          <w:shd w:val="clear" w:color="auto" w:fill="FCFCFC"/>
        </w:rPr>
        <w:t xml:space="preserve"> </w:t>
      </w:r>
      <w:r w:rsidR="00D61885" w:rsidRPr="002B36CC">
        <w:rPr>
          <w:rFonts w:ascii="Helvetica" w:eastAsia="Times New Roman" w:hAnsi="Helvetica" w:cs="Times New Roman"/>
          <w:sz w:val="24"/>
          <w:szCs w:val="24"/>
          <w:shd w:val="clear" w:color="auto" w:fill="FCFCFC"/>
        </w:rPr>
        <w:t>Pre and post survey questions found a</w:t>
      </w:r>
      <w:r w:rsidRPr="002B36CC">
        <w:rPr>
          <w:rFonts w:ascii="Helvetica" w:eastAsia="Times New Roman" w:hAnsi="Helvetica" w:cs="Times New Roman"/>
          <w:sz w:val="24"/>
          <w:szCs w:val="24"/>
          <w:shd w:val="clear" w:color="auto" w:fill="FCFCFC"/>
        </w:rPr>
        <w:t xml:space="preserve"> strong internal consistency (Taber, 2018).</w:t>
      </w:r>
      <w:r w:rsidR="002A2D89" w:rsidRPr="002B36CC">
        <w:rPr>
          <w:rFonts w:ascii="Helvetica" w:eastAsia="Times New Roman" w:hAnsi="Helvetica" w:cs="Times New Roman"/>
          <w:sz w:val="24"/>
          <w:szCs w:val="24"/>
          <w:shd w:val="clear" w:color="auto" w:fill="FCFCFC"/>
        </w:rPr>
        <w:t xml:space="preserve"> </w:t>
      </w:r>
      <w:r w:rsidRPr="002B36CC">
        <w:rPr>
          <w:rFonts w:ascii="Helvetica" w:eastAsia="Times New Roman" w:hAnsi="Helvetica" w:cs="Times New Roman"/>
          <w:sz w:val="24"/>
          <w:szCs w:val="24"/>
          <w:shd w:val="clear" w:color="auto" w:fill="FCFCFC"/>
        </w:rPr>
        <w:t xml:space="preserve">The Cronbach’s alpha coefficient for pre survey questions was </w:t>
      </w:r>
      <w:r w:rsidR="00030692">
        <w:rPr>
          <w:rFonts w:ascii="Helvetica" w:eastAsia="Times New Roman" w:hAnsi="Helvetica" w:cs="Times New Roman"/>
          <w:sz w:val="24"/>
          <w:szCs w:val="24"/>
          <w:shd w:val="clear" w:color="auto" w:fill="FCFCFC"/>
        </w:rPr>
        <w:t>0</w:t>
      </w:r>
      <w:r w:rsidRPr="002B36CC">
        <w:rPr>
          <w:rFonts w:ascii="Helvetica" w:eastAsia="Times New Roman" w:hAnsi="Helvetica" w:cs="Times New Roman"/>
          <w:sz w:val="24"/>
          <w:szCs w:val="24"/>
          <w:shd w:val="clear" w:color="auto" w:fill="FCFCFC"/>
        </w:rPr>
        <w:t xml:space="preserve">.913, and for post survey questions was </w:t>
      </w:r>
      <w:r w:rsidR="00030692">
        <w:rPr>
          <w:rFonts w:ascii="Helvetica" w:eastAsia="Times New Roman" w:hAnsi="Helvetica" w:cs="Times New Roman"/>
          <w:sz w:val="24"/>
          <w:szCs w:val="24"/>
          <w:shd w:val="clear" w:color="auto" w:fill="FCFCFC"/>
        </w:rPr>
        <w:t>0</w:t>
      </w:r>
      <w:r w:rsidRPr="002B36CC">
        <w:rPr>
          <w:rFonts w:ascii="Helvetica" w:eastAsia="Times New Roman" w:hAnsi="Helvetica" w:cs="Times New Roman"/>
          <w:sz w:val="24"/>
          <w:szCs w:val="24"/>
          <w:shd w:val="clear" w:color="auto" w:fill="FCFCFC"/>
        </w:rPr>
        <w:t>.928.</w:t>
      </w:r>
    </w:p>
    <w:p w14:paraId="402E3DB1" w14:textId="77777777" w:rsidR="00AD6747" w:rsidRPr="002B36CC" w:rsidRDefault="00AD6747" w:rsidP="00AD6747">
      <w:pPr>
        <w:shd w:val="clear" w:color="auto" w:fill="FFFFFF"/>
        <w:spacing w:after="0" w:line="360" w:lineRule="auto"/>
        <w:rPr>
          <w:rFonts w:ascii="Helvetica" w:eastAsia="Times New Roman" w:hAnsi="Helvetica" w:cs="Times New Roman"/>
          <w:sz w:val="24"/>
          <w:szCs w:val="24"/>
        </w:rPr>
      </w:pPr>
    </w:p>
    <w:p w14:paraId="00000043" w14:textId="44FF851E" w:rsidR="009E303A" w:rsidRPr="002B36CC" w:rsidRDefault="002A5132" w:rsidP="00AD6747">
      <w:pPr>
        <w:shd w:val="clear" w:color="auto" w:fill="FFFFFF"/>
        <w:spacing w:after="0" w:line="360" w:lineRule="auto"/>
        <w:rPr>
          <w:rFonts w:ascii="Helvetica" w:eastAsia="Times New Roman" w:hAnsi="Helvetica" w:cs="Times New Roman"/>
          <w:sz w:val="24"/>
          <w:szCs w:val="24"/>
        </w:rPr>
      </w:pPr>
      <w:r w:rsidRPr="002B36CC">
        <w:rPr>
          <w:rFonts w:ascii="Helvetica" w:eastAsia="Times New Roman" w:hAnsi="Helvetica" w:cs="Times New Roman"/>
          <w:sz w:val="24"/>
          <w:szCs w:val="24"/>
        </w:rPr>
        <w:t>T</w:t>
      </w:r>
      <w:r w:rsidR="00D61885" w:rsidRPr="002B36CC">
        <w:rPr>
          <w:rFonts w:ascii="Helvetica" w:eastAsia="Times New Roman" w:hAnsi="Helvetica" w:cs="Times New Roman"/>
          <w:sz w:val="24"/>
          <w:szCs w:val="24"/>
        </w:rPr>
        <w:t>able 3 shows t</w:t>
      </w:r>
      <w:r w:rsidRPr="002B36CC">
        <w:rPr>
          <w:rFonts w:ascii="Helvetica" w:eastAsia="Times New Roman" w:hAnsi="Helvetica" w:cs="Times New Roman"/>
          <w:sz w:val="24"/>
          <w:szCs w:val="24"/>
        </w:rPr>
        <w:t>he results of the paired sam</w:t>
      </w:r>
      <w:r w:rsidR="00D61885" w:rsidRPr="002B36CC">
        <w:rPr>
          <w:rFonts w:ascii="Helvetica" w:eastAsia="Times New Roman" w:hAnsi="Helvetica" w:cs="Times New Roman"/>
          <w:sz w:val="24"/>
          <w:szCs w:val="24"/>
        </w:rPr>
        <w:t>ples t-test</w:t>
      </w:r>
      <w:r w:rsidRPr="002B36CC">
        <w:rPr>
          <w:rFonts w:ascii="Helvetica" w:eastAsia="Times New Roman" w:hAnsi="Helvetica" w:cs="Times New Roman"/>
          <w:sz w:val="24"/>
          <w:szCs w:val="24"/>
        </w:rPr>
        <w:t>.</w:t>
      </w:r>
      <w:r w:rsidR="002A2D89" w:rsidRPr="002B36CC">
        <w:rPr>
          <w:rFonts w:ascii="Helvetica" w:eastAsia="Times New Roman" w:hAnsi="Helvetica" w:cs="Times New Roman"/>
          <w:sz w:val="24"/>
          <w:szCs w:val="24"/>
        </w:rPr>
        <w:t xml:space="preserve"> </w:t>
      </w:r>
      <w:r w:rsidR="00757A66" w:rsidRPr="002B36CC">
        <w:rPr>
          <w:rFonts w:ascii="Helvetica" w:eastAsia="Times New Roman" w:hAnsi="Helvetica" w:cs="Times New Roman"/>
          <w:sz w:val="24"/>
          <w:szCs w:val="24"/>
        </w:rPr>
        <w:t>Researchers used two questions</w:t>
      </w:r>
      <w:r w:rsidR="00151209" w:rsidRPr="002B36CC">
        <w:rPr>
          <w:rFonts w:ascii="Helvetica" w:eastAsia="Times New Roman" w:hAnsi="Helvetica" w:cs="Times New Roman"/>
          <w:sz w:val="24"/>
          <w:szCs w:val="24"/>
        </w:rPr>
        <w:t xml:space="preserve"> to ass</w:t>
      </w:r>
      <w:r w:rsidRPr="002B36CC">
        <w:rPr>
          <w:rFonts w:ascii="Helvetica" w:eastAsia="Times New Roman" w:hAnsi="Helvetica" w:cs="Times New Roman"/>
          <w:sz w:val="24"/>
          <w:szCs w:val="24"/>
        </w:rPr>
        <w:t>ess confidence in understanding health insurance options in senior years and estimating total health care costs.</w:t>
      </w:r>
      <w:r w:rsidR="002A2D89" w:rsidRPr="002B36CC">
        <w:rPr>
          <w:rFonts w:ascii="Helvetica" w:eastAsia="Times New Roman" w:hAnsi="Helvetica" w:cs="Times New Roman"/>
          <w:sz w:val="24"/>
          <w:szCs w:val="24"/>
        </w:rPr>
        <w:t xml:space="preserve"> </w:t>
      </w:r>
      <w:r w:rsidR="00757A66" w:rsidRPr="002B36CC">
        <w:rPr>
          <w:rFonts w:ascii="Helvetica" w:eastAsia="Times New Roman" w:hAnsi="Helvetica" w:cs="Times New Roman"/>
          <w:sz w:val="24"/>
          <w:szCs w:val="24"/>
        </w:rPr>
        <w:t>Researchers used t</w:t>
      </w:r>
      <w:r w:rsidRPr="002B36CC">
        <w:rPr>
          <w:rFonts w:ascii="Helvetica" w:eastAsia="Times New Roman" w:hAnsi="Helvetica" w:cs="Times New Roman"/>
          <w:sz w:val="24"/>
          <w:szCs w:val="24"/>
        </w:rPr>
        <w:t xml:space="preserve">wo </w:t>
      </w:r>
      <w:r w:rsidR="00757A66" w:rsidRPr="002B36CC">
        <w:rPr>
          <w:rFonts w:ascii="Helvetica" w:eastAsia="Times New Roman" w:hAnsi="Helvetica" w:cs="Times New Roman"/>
          <w:sz w:val="24"/>
          <w:szCs w:val="24"/>
        </w:rPr>
        <w:t>additional questions</w:t>
      </w:r>
      <w:r w:rsidR="00151209" w:rsidRPr="002B36CC">
        <w:rPr>
          <w:rFonts w:ascii="Helvetica" w:eastAsia="Times New Roman" w:hAnsi="Helvetica" w:cs="Times New Roman"/>
          <w:sz w:val="24"/>
          <w:szCs w:val="24"/>
        </w:rPr>
        <w:t xml:space="preserve"> to ass</w:t>
      </w:r>
      <w:r w:rsidRPr="002B36CC">
        <w:rPr>
          <w:rFonts w:ascii="Helvetica" w:eastAsia="Times New Roman" w:hAnsi="Helvetica" w:cs="Times New Roman"/>
          <w:sz w:val="24"/>
          <w:szCs w:val="24"/>
        </w:rPr>
        <w:t xml:space="preserve">ess behavior change regarding their likelihood to 1) determine which health insurance option works best for their health and financial plan and 2) determine the amount </w:t>
      </w:r>
      <w:r w:rsidRPr="002B36CC">
        <w:rPr>
          <w:rFonts w:ascii="Helvetica" w:eastAsia="Times New Roman" w:hAnsi="Helvetica" w:cs="Times New Roman"/>
          <w:sz w:val="24"/>
          <w:szCs w:val="24"/>
        </w:rPr>
        <w:lastRenderedPageBreak/>
        <w:t>needed to cover health care expenses.</w:t>
      </w:r>
      <w:r w:rsidR="002A2D89" w:rsidRPr="002B36CC">
        <w:rPr>
          <w:rFonts w:ascii="Helvetica" w:eastAsia="Times New Roman" w:hAnsi="Helvetica" w:cs="Times New Roman"/>
          <w:sz w:val="24"/>
          <w:szCs w:val="24"/>
        </w:rPr>
        <w:t xml:space="preserve"> </w:t>
      </w:r>
      <w:r w:rsidR="00757A66" w:rsidRPr="002B36CC">
        <w:rPr>
          <w:rFonts w:ascii="Helvetica" w:eastAsia="Times New Roman" w:hAnsi="Helvetica" w:cs="Times New Roman"/>
          <w:sz w:val="24"/>
          <w:szCs w:val="24"/>
        </w:rPr>
        <w:t>Researchers used a Likert scale</w:t>
      </w:r>
      <w:r w:rsidRPr="002B36CC">
        <w:rPr>
          <w:rFonts w:ascii="Helvetica" w:eastAsia="Times New Roman" w:hAnsi="Helvetica" w:cs="Times New Roman"/>
          <w:sz w:val="24"/>
          <w:szCs w:val="24"/>
        </w:rPr>
        <w:t xml:space="preserve"> to create the answer options from not at all confident to very confident.</w:t>
      </w:r>
      <w:r w:rsidR="002A2D89" w:rsidRPr="002B36CC">
        <w:rPr>
          <w:rFonts w:ascii="Helvetica" w:eastAsia="Times New Roman" w:hAnsi="Helvetica" w:cs="Times New Roman"/>
          <w:sz w:val="24"/>
          <w:szCs w:val="24"/>
        </w:rPr>
        <w:t xml:space="preserve"> </w:t>
      </w:r>
      <w:r w:rsidRPr="002B36CC">
        <w:rPr>
          <w:rFonts w:ascii="Helvetica" w:eastAsia="Times New Roman" w:hAnsi="Helvetica" w:cs="Times New Roman"/>
          <w:sz w:val="24"/>
          <w:szCs w:val="24"/>
        </w:rPr>
        <w:t xml:space="preserve">The results indicate a statistically significant (p &lt; </w:t>
      </w:r>
      <w:r w:rsidR="00652D12">
        <w:rPr>
          <w:rFonts w:ascii="Helvetica" w:eastAsia="Times New Roman" w:hAnsi="Helvetica" w:cs="Times New Roman"/>
          <w:sz w:val="24"/>
          <w:szCs w:val="24"/>
        </w:rPr>
        <w:t>0</w:t>
      </w:r>
      <w:r w:rsidRPr="002B36CC">
        <w:rPr>
          <w:rFonts w:ascii="Helvetica" w:eastAsia="Times New Roman" w:hAnsi="Helvetica" w:cs="Times New Roman"/>
          <w:sz w:val="24"/>
          <w:szCs w:val="24"/>
        </w:rPr>
        <w:t>.001) increase in all four questions, with a medium to high effect size (Cohen, 1988).</w:t>
      </w:r>
      <w:r w:rsidR="002A2D89" w:rsidRPr="002B36CC">
        <w:rPr>
          <w:rFonts w:ascii="Helvetica" w:eastAsia="Times New Roman" w:hAnsi="Helvetica" w:cs="Times New Roman"/>
          <w:sz w:val="24"/>
          <w:szCs w:val="24"/>
        </w:rPr>
        <w:t xml:space="preserve"> </w:t>
      </w:r>
    </w:p>
    <w:p w14:paraId="7612F523" w14:textId="77777777" w:rsidR="00652D12" w:rsidRPr="002B36CC" w:rsidRDefault="00652D12" w:rsidP="000441E4">
      <w:pPr>
        <w:shd w:val="clear" w:color="auto" w:fill="FFFFFF"/>
        <w:spacing w:after="0" w:line="240" w:lineRule="auto"/>
        <w:rPr>
          <w:rFonts w:ascii="Helvetica" w:eastAsia="Times New Roman" w:hAnsi="Helvetica" w:cs="Times New Roman"/>
          <w:b/>
          <w:sz w:val="24"/>
          <w:szCs w:val="24"/>
        </w:rPr>
      </w:pPr>
    </w:p>
    <w:p w14:paraId="36A30E02" w14:textId="67A4F8CE" w:rsidR="000441E4" w:rsidRPr="00652D12" w:rsidRDefault="00652D12" w:rsidP="000441E4">
      <w:pPr>
        <w:shd w:val="clear" w:color="auto" w:fill="FFFFFF"/>
        <w:spacing w:after="0" w:line="240" w:lineRule="auto"/>
        <w:rPr>
          <w:rFonts w:ascii="Helvetica" w:eastAsia="Times New Roman" w:hAnsi="Helvetica" w:cs="Times New Roman"/>
          <w:iCs/>
          <w:sz w:val="24"/>
          <w:szCs w:val="24"/>
        </w:rPr>
      </w:pPr>
      <w:r>
        <w:rPr>
          <w:rFonts w:ascii="Helvetica" w:eastAsia="Times New Roman" w:hAnsi="Helvetica" w:cs="Times New Roman"/>
          <w:b/>
          <w:bCs/>
          <w:iCs/>
          <w:sz w:val="24"/>
          <w:szCs w:val="24"/>
        </w:rPr>
        <w:t xml:space="preserve">Table 3. </w:t>
      </w:r>
      <w:r w:rsidR="000441E4" w:rsidRPr="00652D12">
        <w:rPr>
          <w:rFonts w:ascii="Helvetica" w:eastAsia="Times New Roman" w:hAnsi="Helvetica" w:cs="Times New Roman"/>
          <w:iCs/>
          <w:sz w:val="24"/>
          <w:szCs w:val="24"/>
        </w:rPr>
        <w:t xml:space="preserve">Paired T-Test Results for Pre-and Post-Surveys </w:t>
      </w:r>
    </w:p>
    <w:p w14:paraId="285D2590" w14:textId="77777777" w:rsidR="000441E4" w:rsidRPr="00652D12" w:rsidRDefault="000441E4" w:rsidP="000441E4">
      <w:pPr>
        <w:shd w:val="clear" w:color="auto" w:fill="FFFFFF"/>
        <w:spacing w:after="0" w:line="240" w:lineRule="auto"/>
        <w:rPr>
          <w:rFonts w:ascii="Helvetica" w:eastAsia="Times New Roman" w:hAnsi="Helvetica" w:cs="Times New Roman"/>
          <w:iCs/>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900"/>
        <w:gridCol w:w="720"/>
        <w:gridCol w:w="840"/>
        <w:gridCol w:w="600"/>
        <w:gridCol w:w="630"/>
        <w:gridCol w:w="810"/>
        <w:gridCol w:w="915"/>
        <w:gridCol w:w="1110"/>
      </w:tblGrid>
      <w:tr w:rsidR="000441E4" w:rsidRPr="002B36CC" w14:paraId="479652FD" w14:textId="77777777" w:rsidTr="00F25C12">
        <w:trPr>
          <w:trHeight w:val="440"/>
        </w:trPr>
        <w:tc>
          <w:tcPr>
            <w:tcW w:w="283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1876E00E" w14:textId="77777777" w:rsidR="000441E4" w:rsidRPr="002B36CC" w:rsidRDefault="000441E4" w:rsidP="00F25C12">
            <w:pPr>
              <w:widowControl w:val="0"/>
              <w:spacing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Question</w:t>
            </w:r>
          </w:p>
        </w:tc>
        <w:tc>
          <w:tcPr>
            <w:tcW w:w="1620" w:type="dxa"/>
            <w:gridSpan w:val="2"/>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237E2B4A" w14:textId="77777777" w:rsidR="000441E4" w:rsidRPr="002B36CC" w:rsidRDefault="000441E4" w:rsidP="00F25C12">
            <w:pPr>
              <w:widowControl w:val="0"/>
              <w:spacing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Pretest</w:t>
            </w:r>
          </w:p>
        </w:tc>
        <w:tc>
          <w:tcPr>
            <w:tcW w:w="1440" w:type="dxa"/>
            <w:gridSpan w:val="2"/>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3A4F842F" w14:textId="77777777" w:rsidR="000441E4" w:rsidRPr="002B36CC" w:rsidRDefault="000441E4" w:rsidP="00F25C12">
            <w:pPr>
              <w:widowControl w:val="0"/>
              <w:spacing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Posttest</w:t>
            </w:r>
          </w:p>
        </w:tc>
        <w:tc>
          <w:tcPr>
            <w:tcW w:w="2355" w:type="dxa"/>
            <w:gridSpan w:val="3"/>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178ED1CC" w14:textId="77777777" w:rsidR="000441E4" w:rsidRPr="002B36CC" w:rsidRDefault="000441E4" w:rsidP="00F25C12">
            <w:pPr>
              <w:widowControl w:val="0"/>
              <w:spacing w:line="240" w:lineRule="auto"/>
              <w:rPr>
                <w:rFonts w:ascii="Helvetica" w:eastAsia="Times New Roman" w:hAnsi="Helvetica" w:cs="Times New Roman"/>
                <w:sz w:val="24"/>
                <w:szCs w:val="24"/>
              </w:rPr>
            </w:pPr>
          </w:p>
        </w:tc>
        <w:tc>
          <w:tcPr>
            <w:tcW w:w="111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5D1346F7" w14:textId="77777777" w:rsidR="000441E4" w:rsidRPr="002B36CC" w:rsidRDefault="000441E4" w:rsidP="00F25C12">
            <w:pPr>
              <w:widowControl w:val="0"/>
              <w:spacing w:line="240" w:lineRule="auto"/>
              <w:rPr>
                <w:rFonts w:ascii="Helvetica" w:eastAsia="Times New Roman" w:hAnsi="Helvetica" w:cs="Times New Roman"/>
                <w:sz w:val="24"/>
                <w:szCs w:val="24"/>
              </w:rPr>
            </w:pPr>
          </w:p>
        </w:tc>
      </w:tr>
      <w:tr w:rsidR="000441E4" w:rsidRPr="002B36CC" w14:paraId="36D5B538" w14:textId="77777777" w:rsidTr="00F25C12">
        <w:tc>
          <w:tcPr>
            <w:tcW w:w="283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CFA84E8" w14:textId="77777777" w:rsidR="000441E4" w:rsidRPr="002B36CC" w:rsidRDefault="000441E4" w:rsidP="00F25C12">
            <w:pPr>
              <w:widowControl w:val="0"/>
              <w:spacing w:line="240" w:lineRule="auto"/>
              <w:rPr>
                <w:rFonts w:ascii="Helvetica" w:eastAsia="Times New Roman" w:hAnsi="Helvetica" w:cs="Times New Roman"/>
                <w:sz w:val="24"/>
                <w:szCs w:val="24"/>
              </w:rPr>
            </w:pPr>
          </w:p>
        </w:tc>
        <w:tc>
          <w:tcPr>
            <w:tcW w:w="900" w:type="dxa"/>
            <w:tcBorders>
              <w:left w:val="single" w:sz="8" w:space="0" w:color="FFFFFF"/>
              <w:right w:val="single" w:sz="8" w:space="0" w:color="FFFFFF"/>
            </w:tcBorders>
            <w:shd w:val="clear" w:color="auto" w:fill="auto"/>
            <w:tcMar>
              <w:top w:w="100" w:type="dxa"/>
              <w:left w:w="100" w:type="dxa"/>
              <w:bottom w:w="100" w:type="dxa"/>
              <w:right w:w="100" w:type="dxa"/>
            </w:tcMar>
          </w:tcPr>
          <w:p w14:paraId="61C99FAE" w14:textId="77777777" w:rsidR="000441E4" w:rsidRPr="002B36CC" w:rsidRDefault="000441E4" w:rsidP="00F25C12">
            <w:pPr>
              <w:widowControl w:val="0"/>
              <w:spacing w:line="240" w:lineRule="auto"/>
              <w:jc w:val="center"/>
              <w:rPr>
                <w:rFonts w:ascii="Helvetica" w:eastAsia="Times New Roman" w:hAnsi="Helvetica" w:cs="Times New Roman"/>
                <w:i/>
                <w:sz w:val="24"/>
                <w:szCs w:val="24"/>
              </w:rPr>
            </w:pPr>
            <w:r w:rsidRPr="002B36CC">
              <w:rPr>
                <w:rFonts w:ascii="Helvetica" w:eastAsia="Times New Roman" w:hAnsi="Helvetica" w:cs="Times New Roman"/>
                <w:i/>
                <w:sz w:val="24"/>
                <w:szCs w:val="24"/>
              </w:rPr>
              <w:t>Mean</w:t>
            </w:r>
          </w:p>
        </w:tc>
        <w:tc>
          <w:tcPr>
            <w:tcW w:w="720" w:type="dxa"/>
            <w:tcBorders>
              <w:left w:val="single" w:sz="8" w:space="0" w:color="FFFFFF"/>
              <w:right w:val="single" w:sz="8" w:space="0" w:color="FFFFFF"/>
            </w:tcBorders>
            <w:shd w:val="clear" w:color="auto" w:fill="auto"/>
            <w:tcMar>
              <w:top w:w="100" w:type="dxa"/>
              <w:left w:w="100" w:type="dxa"/>
              <w:bottom w:w="100" w:type="dxa"/>
              <w:right w:w="100" w:type="dxa"/>
            </w:tcMar>
          </w:tcPr>
          <w:p w14:paraId="0EFFC987" w14:textId="77777777" w:rsidR="000441E4" w:rsidRPr="002B36CC" w:rsidRDefault="000441E4" w:rsidP="00F25C12">
            <w:pPr>
              <w:widowControl w:val="0"/>
              <w:spacing w:line="240" w:lineRule="auto"/>
              <w:jc w:val="center"/>
              <w:rPr>
                <w:rFonts w:ascii="Helvetica" w:eastAsia="Times New Roman" w:hAnsi="Helvetica" w:cs="Times New Roman"/>
                <w:i/>
                <w:sz w:val="24"/>
                <w:szCs w:val="24"/>
              </w:rPr>
            </w:pPr>
            <w:r w:rsidRPr="002B36CC">
              <w:rPr>
                <w:rFonts w:ascii="Helvetica" w:eastAsia="Times New Roman" w:hAnsi="Helvetica" w:cs="Times New Roman"/>
                <w:i/>
                <w:sz w:val="24"/>
                <w:szCs w:val="24"/>
              </w:rPr>
              <w:t>SD</w:t>
            </w:r>
          </w:p>
        </w:tc>
        <w:tc>
          <w:tcPr>
            <w:tcW w:w="840" w:type="dxa"/>
            <w:tcBorders>
              <w:left w:val="single" w:sz="8" w:space="0" w:color="FFFFFF"/>
              <w:right w:val="single" w:sz="8" w:space="0" w:color="FFFFFF"/>
            </w:tcBorders>
            <w:shd w:val="clear" w:color="auto" w:fill="auto"/>
            <w:tcMar>
              <w:top w:w="100" w:type="dxa"/>
              <w:left w:w="100" w:type="dxa"/>
              <w:bottom w:w="100" w:type="dxa"/>
              <w:right w:w="100" w:type="dxa"/>
            </w:tcMar>
          </w:tcPr>
          <w:p w14:paraId="05E3086D" w14:textId="77777777" w:rsidR="000441E4" w:rsidRPr="002B36CC" w:rsidRDefault="000441E4" w:rsidP="00F25C12">
            <w:pPr>
              <w:widowControl w:val="0"/>
              <w:spacing w:line="240" w:lineRule="auto"/>
              <w:jc w:val="center"/>
              <w:rPr>
                <w:rFonts w:ascii="Helvetica" w:eastAsia="Times New Roman" w:hAnsi="Helvetica" w:cs="Times New Roman"/>
                <w:i/>
                <w:sz w:val="24"/>
                <w:szCs w:val="24"/>
              </w:rPr>
            </w:pPr>
            <w:r w:rsidRPr="002B36CC">
              <w:rPr>
                <w:rFonts w:ascii="Helvetica" w:eastAsia="Times New Roman" w:hAnsi="Helvetica" w:cs="Times New Roman"/>
                <w:i/>
                <w:sz w:val="24"/>
                <w:szCs w:val="24"/>
              </w:rPr>
              <w:t>Mean</w:t>
            </w:r>
          </w:p>
        </w:tc>
        <w:tc>
          <w:tcPr>
            <w:tcW w:w="600" w:type="dxa"/>
            <w:tcBorders>
              <w:left w:val="single" w:sz="8" w:space="0" w:color="FFFFFF"/>
              <w:right w:val="single" w:sz="8" w:space="0" w:color="FFFFFF"/>
            </w:tcBorders>
            <w:shd w:val="clear" w:color="auto" w:fill="auto"/>
            <w:tcMar>
              <w:top w:w="100" w:type="dxa"/>
              <w:left w:w="100" w:type="dxa"/>
              <w:bottom w:w="100" w:type="dxa"/>
              <w:right w:w="100" w:type="dxa"/>
            </w:tcMar>
          </w:tcPr>
          <w:p w14:paraId="71C702E7" w14:textId="77777777" w:rsidR="000441E4" w:rsidRPr="002B36CC" w:rsidRDefault="000441E4" w:rsidP="00F25C12">
            <w:pPr>
              <w:widowControl w:val="0"/>
              <w:spacing w:line="240" w:lineRule="auto"/>
              <w:jc w:val="center"/>
              <w:rPr>
                <w:rFonts w:ascii="Helvetica" w:eastAsia="Times New Roman" w:hAnsi="Helvetica" w:cs="Times New Roman"/>
                <w:i/>
                <w:sz w:val="24"/>
                <w:szCs w:val="24"/>
              </w:rPr>
            </w:pPr>
            <w:r w:rsidRPr="002B36CC">
              <w:rPr>
                <w:rFonts w:ascii="Helvetica" w:eastAsia="Times New Roman" w:hAnsi="Helvetica" w:cs="Times New Roman"/>
                <w:i/>
                <w:sz w:val="24"/>
                <w:szCs w:val="24"/>
              </w:rPr>
              <w:t>SD</w:t>
            </w:r>
          </w:p>
        </w:tc>
        <w:tc>
          <w:tcPr>
            <w:tcW w:w="630" w:type="dxa"/>
            <w:tcBorders>
              <w:left w:val="single" w:sz="8" w:space="0" w:color="FFFFFF"/>
              <w:right w:val="single" w:sz="8" w:space="0" w:color="FFFFFF"/>
            </w:tcBorders>
            <w:shd w:val="clear" w:color="auto" w:fill="auto"/>
            <w:tcMar>
              <w:top w:w="100" w:type="dxa"/>
              <w:left w:w="100" w:type="dxa"/>
              <w:bottom w:w="100" w:type="dxa"/>
              <w:right w:w="100" w:type="dxa"/>
            </w:tcMar>
          </w:tcPr>
          <w:p w14:paraId="7AC758CB" w14:textId="77777777" w:rsidR="000441E4" w:rsidRPr="002B36CC" w:rsidRDefault="000441E4" w:rsidP="00F25C12">
            <w:pPr>
              <w:widowControl w:val="0"/>
              <w:spacing w:line="240" w:lineRule="auto"/>
              <w:jc w:val="center"/>
              <w:rPr>
                <w:rFonts w:ascii="Helvetica" w:eastAsia="Times New Roman" w:hAnsi="Helvetica" w:cs="Times New Roman"/>
                <w:i/>
                <w:sz w:val="24"/>
                <w:szCs w:val="24"/>
              </w:rPr>
            </w:pPr>
            <w:r w:rsidRPr="002B36CC">
              <w:rPr>
                <w:rFonts w:ascii="Helvetica" w:eastAsia="Times New Roman" w:hAnsi="Helvetica" w:cs="Times New Roman"/>
                <w:i/>
                <w:sz w:val="24"/>
                <w:szCs w:val="24"/>
              </w:rPr>
              <w:t>df</w:t>
            </w:r>
          </w:p>
        </w:tc>
        <w:tc>
          <w:tcPr>
            <w:tcW w:w="810" w:type="dxa"/>
            <w:tcBorders>
              <w:left w:val="single" w:sz="8" w:space="0" w:color="FFFFFF"/>
              <w:right w:val="single" w:sz="8" w:space="0" w:color="FFFFFF"/>
            </w:tcBorders>
            <w:shd w:val="clear" w:color="auto" w:fill="auto"/>
            <w:tcMar>
              <w:top w:w="100" w:type="dxa"/>
              <w:left w:w="100" w:type="dxa"/>
              <w:bottom w:w="100" w:type="dxa"/>
              <w:right w:w="100" w:type="dxa"/>
            </w:tcMar>
          </w:tcPr>
          <w:p w14:paraId="4CA64DC5" w14:textId="77777777" w:rsidR="000441E4" w:rsidRPr="002B36CC" w:rsidRDefault="000441E4" w:rsidP="00F25C12">
            <w:pPr>
              <w:widowControl w:val="0"/>
              <w:spacing w:line="240" w:lineRule="auto"/>
              <w:jc w:val="center"/>
              <w:rPr>
                <w:rFonts w:ascii="Helvetica" w:eastAsia="Times New Roman" w:hAnsi="Helvetica" w:cs="Times New Roman"/>
                <w:i/>
                <w:sz w:val="24"/>
                <w:szCs w:val="24"/>
              </w:rPr>
            </w:pPr>
            <w:r w:rsidRPr="002B36CC">
              <w:rPr>
                <w:rFonts w:ascii="Helvetica" w:eastAsia="Times New Roman" w:hAnsi="Helvetica" w:cs="Times New Roman"/>
                <w:i/>
                <w:sz w:val="24"/>
                <w:szCs w:val="24"/>
              </w:rPr>
              <w:t>t</w:t>
            </w:r>
          </w:p>
        </w:tc>
        <w:tc>
          <w:tcPr>
            <w:tcW w:w="915" w:type="dxa"/>
            <w:tcBorders>
              <w:left w:val="single" w:sz="8" w:space="0" w:color="FFFFFF"/>
              <w:right w:val="single" w:sz="8" w:space="0" w:color="FFFFFF"/>
            </w:tcBorders>
            <w:shd w:val="clear" w:color="auto" w:fill="auto"/>
            <w:tcMar>
              <w:top w:w="100" w:type="dxa"/>
              <w:left w:w="100" w:type="dxa"/>
              <w:bottom w:w="100" w:type="dxa"/>
              <w:right w:w="100" w:type="dxa"/>
            </w:tcMar>
          </w:tcPr>
          <w:p w14:paraId="2302594F" w14:textId="77777777" w:rsidR="000441E4" w:rsidRPr="002B36CC" w:rsidRDefault="000441E4" w:rsidP="00F25C12">
            <w:pPr>
              <w:widowControl w:val="0"/>
              <w:spacing w:line="240" w:lineRule="auto"/>
              <w:jc w:val="center"/>
              <w:rPr>
                <w:rFonts w:ascii="Helvetica" w:eastAsia="Times New Roman" w:hAnsi="Helvetica" w:cs="Times New Roman"/>
                <w:i/>
                <w:sz w:val="24"/>
                <w:szCs w:val="24"/>
              </w:rPr>
            </w:pPr>
            <w:r w:rsidRPr="002B36CC">
              <w:rPr>
                <w:rFonts w:ascii="Helvetica" w:eastAsia="Times New Roman" w:hAnsi="Helvetica" w:cs="Times New Roman"/>
                <w:i/>
                <w:sz w:val="24"/>
                <w:szCs w:val="24"/>
              </w:rPr>
              <w:t>p</w:t>
            </w:r>
          </w:p>
        </w:tc>
        <w:tc>
          <w:tcPr>
            <w:tcW w:w="1110" w:type="dxa"/>
            <w:tcBorders>
              <w:left w:val="single" w:sz="8" w:space="0" w:color="FFFFFF"/>
              <w:right w:val="single" w:sz="8" w:space="0" w:color="FFFFFF"/>
            </w:tcBorders>
            <w:shd w:val="clear" w:color="auto" w:fill="auto"/>
            <w:tcMar>
              <w:top w:w="100" w:type="dxa"/>
              <w:left w:w="100" w:type="dxa"/>
              <w:bottom w:w="100" w:type="dxa"/>
              <w:right w:w="100" w:type="dxa"/>
            </w:tcMar>
          </w:tcPr>
          <w:p w14:paraId="2C28DDE7" w14:textId="77777777" w:rsidR="000441E4" w:rsidRPr="002B36CC" w:rsidRDefault="000441E4" w:rsidP="00F25C12">
            <w:pPr>
              <w:widowControl w:val="0"/>
              <w:spacing w:line="240" w:lineRule="auto"/>
              <w:ind w:right="-90"/>
              <w:jc w:val="center"/>
              <w:rPr>
                <w:rFonts w:ascii="Helvetica" w:eastAsia="Times New Roman" w:hAnsi="Helvetica" w:cs="Times New Roman"/>
                <w:i/>
                <w:sz w:val="24"/>
                <w:szCs w:val="24"/>
              </w:rPr>
            </w:pPr>
            <w:r w:rsidRPr="002B36CC">
              <w:rPr>
                <w:rFonts w:ascii="Helvetica" w:eastAsia="Times New Roman" w:hAnsi="Helvetica" w:cs="Times New Roman"/>
                <w:sz w:val="24"/>
                <w:szCs w:val="24"/>
              </w:rPr>
              <w:t xml:space="preserve">Cohen’s </w:t>
            </w:r>
            <w:r w:rsidRPr="002B36CC">
              <w:rPr>
                <w:rFonts w:ascii="Helvetica" w:eastAsia="Times New Roman" w:hAnsi="Helvetica" w:cs="Times New Roman"/>
                <w:i/>
                <w:sz w:val="24"/>
                <w:szCs w:val="24"/>
              </w:rPr>
              <w:t>d</w:t>
            </w:r>
          </w:p>
        </w:tc>
      </w:tr>
      <w:tr w:rsidR="000441E4" w:rsidRPr="002B36CC" w14:paraId="42BD75C5" w14:textId="77777777" w:rsidTr="00F25C12">
        <w:trPr>
          <w:trHeight w:val="962"/>
        </w:trPr>
        <w:tc>
          <w:tcPr>
            <w:tcW w:w="28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F95F811" w14:textId="6B857199" w:rsidR="000441E4" w:rsidRPr="002B36CC" w:rsidRDefault="00693FD9" w:rsidP="00F25C12">
            <w:pPr>
              <w:widowControl w:val="0"/>
              <w:spacing w:line="240" w:lineRule="auto"/>
              <w:rPr>
                <w:rFonts w:ascii="Helvetica" w:eastAsia="Times New Roman" w:hAnsi="Helvetica" w:cs="Times New Roman"/>
                <w:sz w:val="24"/>
                <w:szCs w:val="24"/>
              </w:rPr>
            </w:pPr>
            <w:r>
              <w:rPr>
                <w:rFonts w:ascii="Helvetica" w:eastAsia="Times New Roman" w:hAnsi="Helvetica" w:cs="Times New Roman"/>
                <w:sz w:val="24"/>
                <w:szCs w:val="24"/>
              </w:rPr>
              <w:t xml:space="preserve">Q1. </w:t>
            </w:r>
            <w:r w:rsidR="000441E4" w:rsidRPr="002B36CC">
              <w:rPr>
                <w:rFonts w:ascii="Helvetica" w:eastAsia="Times New Roman" w:hAnsi="Helvetica" w:cs="Times New Roman"/>
                <w:sz w:val="24"/>
                <w:szCs w:val="24"/>
              </w:rPr>
              <w:t>How confident are you that you understand health insurance options in your senior years?</w:t>
            </w:r>
          </w:p>
        </w:tc>
        <w:tc>
          <w:tcPr>
            <w:tcW w:w="9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5A6C07" w14:textId="77777777" w:rsidR="000441E4" w:rsidRPr="002B36CC" w:rsidRDefault="000441E4" w:rsidP="00F25C12">
            <w:pPr>
              <w:widowControl w:val="0"/>
              <w:spacing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2.26</w:t>
            </w:r>
          </w:p>
        </w:tc>
        <w:tc>
          <w:tcPr>
            <w:tcW w:w="72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2EF5029" w14:textId="50533846" w:rsidR="000441E4" w:rsidRPr="002B36CC" w:rsidRDefault="00652D12" w:rsidP="00F25C12">
            <w:pPr>
              <w:widowControl w:val="0"/>
              <w:spacing w:line="240" w:lineRule="auto"/>
              <w:jc w:val="center"/>
              <w:rPr>
                <w:rFonts w:ascii="Helvetica" w:eastAsia="Times New Roman" w:hAnsi="Helvetica" w:cs="Times New Roman"/>
                <w:sz w:val="24"/>
                <w:szCs w:val="24"/>
              </w:rPr>
            </w:pPr>
            <w:r>
              <w:rPr>
                <w:rFonts w:ascii="Helvetica" w:eastAsia="Times New Roman" w:hAnsi="Helvetica" w:cs="Times New Roman"/>
                <w:sz w:val="24"/>
                <w:szCs w:val="24"/>
              </w:rPr>
              <w:t>0</w:t>
            </w:r>
            <w:r w:rsidR="000441E4" w:rsidRPr="002B36CC">
              <w:rPr>
                <w:rFonts w:ascii="Helvetica" w:eastAsia="Times New Roman" w:hAnsi="Helvetica" w:cs="Times New Roman"/>
                <w:sz w:val="24"/>
                <w:szCs w:val="24"/>
              </w:rPr>
              <w:t>.98</w:t>
            </w:r>
          </w:p>
        </w:tc>
        <w:tc>
          <w:tcPr>
            <w:tcW w:w="84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E32C69" w14:textId="77777777" w:rsidR="000441E4" w:rsidRPr="002B36CC" w:rsidRDefault="000441E4" w:rsidP="00F25C12">
            <w:pPr>
              <w:widowControl w:val="0"/>
              <w:spacing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2.76</w:t>
            </w:r>
          </w:p>
        </w:tc>
        <w:tc>
          <w:tcPr>
            <w:tcW w:w="6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2B60C1" w14:textId="34ABEA69" w:rsidR="000441E4" w:rsidRPr="002B36CC" w:rsidRDefault="000441E4" w:rsidP="00F25C12">
            <w:pPr>
              <w:widowControl w:val="0"/>
              <w:spacing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.89</w:t>
            </w:r>
          </w:p>
        </w:tc>
        <w:tc>
          <w:tcPr>
            <w:tcW w:w="63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22BB730" w14:textId="77777777" w:rsidR="000441E4" w:rsidRPr="002B36CC" w:rsidRDefault="000441E4" w:rsidP="00F25C12">
            <w:pPr>
              <w:shd w:val="clear" w:color="auto" w:fill="FFFFFF"/>
              <w:spacing w:line="48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104</w:t>
            </w:r>
          </w:p>
        </w:tc>
        <w:tc>
          <w:tcPr>
            <w:tcW w:w="8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21F7592" w14:textId="77777777" w:rsidR="000441E4" w:rsidRPr="002B36CC" w:rsidRDefault="000441E4" w:rsidP="00F25C12">
            <w:pPr>
              <w:shd w:val="clear" w:color="auto" w:fill="FFFFFF"/>
              <w:spacing w:line="48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-6.39</w:t>
            </w:r>
          </w:p>
        </w:tc>
        <w:tc>
          <w:tcPr>
            <w:tcW w:w="91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BEE204E" w14:textId="0D198B1F" w:rsidR="000441E4" w:rsidRPr="002B36CC" w:rsidRDefault="000441E4" w:rsidP="00F25C12">
            <w:pPr>
              <w:shd w:val="clear" w:color="auto" w:fill="FFFFFF"/>
              <w:spacing w:line="48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&lt;.001</w:t>
            </w:r>
          </w:p>
        </w:tc>
        <w:tc>
          <w:tcPr>
            <w:tcW w:w="111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95A2800" w14:textId="77777777" w:rsidR="000441E4" w:rsidRPr="002B36CC" w:rsidRDefault="000441E4" w:rsidP="00F25C12">
            <w:pPr>
              <w:shd w:val="clear" w:color="auto" w:fill="FFFFFF"/>
              <w:spacing w:line="48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0.53</w:t>
            </w:r>
          </w:p>
        </w:tc>
      </w:tr>
      <w:tr w:rsidR="000441E4" w:rsidRPr="002B36CC" w14:paraId="4B29E8CD" w14:textId="77777777" w:rsidTr="00F25C12">
        <w:tc>
          <w:tcPr>
            <w:tcW w:w="28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95BE460" w14:textId="31F36BF9" w:rsidR="000441E4" w:rsidRPr="002B36CC" w:rsidRDefault="00693FD9" w:rsidP="00F25C12">
            <w:pPr>
              <w:widowControl w:val="0"/>
              <w:spacing w:line="240" w:lineRule="auto"/>
              <w:rPr>
                <w:rFonts w:ascii="Helvetica" w:eastAsia="Times New Roman" w:hAnsi="Helvetica" w:cs="Times New Roman"/>
                <w:sz w:val="24"/>
                <w:szCs w:val="24"/>
              </w:rPr>
            </w:pPr>
            <w:r>
              <w:rPr>
                <w:rFonts w:ascii="Helvetica" w:eastAsia="Times New Roman" w:hAnsi="Helvetica" w:cs="Times New Roman"/>
                <w:sz w:val="24"/>
                <w:szCs w:val="24"/>
              </w:rPr>
              <w:t xml:space="preserve">Q2. </w:t>
            </w:r>
            <w:r w:rsidR="000441E4" w:rsidRPr="002B36CC">
              <w:rPr>
                <w:rFonts w:ascii="Helvetica" w:eastAsia="Times New Roman" w:hAnsi="Helvetica" w:cs="Times New Roman"/>
                <w:sz w:val="24"/>
                <w:szCs w:val="24"/>
              </w:rPr>
              <w:t>How confident are you that you could estimate your total health care costs?</w:t>
            </w:r>
          </w:p>
        </w:tc>
        <w:tc>
          <w:tcPr>
            <w:tcW w:w="9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5552099" w14:textId="77777777" w:rsidR="000441E4" w:rsidRPr="002B36CC" w:rsidRDefault="000441E4" w:rsidP="00F25C12">
            <w:pPr>
              <w:widowControl w:val="0"/>
              <w:spacing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2.13</w:t>
            </w:r>
          </w:p>
        </w:tc>
        <w:tc>
          <w:tcPr>
            <w:tcW w:w="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DD072D0" w14:textId="77777777" w:rsidR="000441E4" w:rsidRPr="002B36CC" w:rsidRDefault="000441E4" w:rsidP="00F25C12">
            <w:pPr>
              <w:widowControl w:val="0"/>
              <w:spacing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1.05</w:t>
            </w:r>
          </w:p>
        </w:tc>
        <w:tc>
          <w:tcPr>
            <w:tcW w:w="8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D15841" w14:textId="77777777" w:rsidR="000441E4" w:rsidRPr="002B36CC" w:rsidRDefault="000441E4" w:rsidP="00F25C12">
            <w:pPr>
              <w:widowControl w:val="0"/>
              <w:spacing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2.80</w:t>
            </w:r>
          </w:p>
        </w:tc>
        <w:tc>
          <w:tcPr>
            <w:tcW w:w="6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A335C0C" w14:textId="77777777" w:rsidR="000441E4" w:rsidRPr="002B36CC" w:rsidRDefault="000441E4" w:rsidP="00F25C12">
            <w:pPr>
              <w:widowControl w:val="0"/>
              <w:spacing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.94</w:t>
            </w:r>
          </w:p>
        </w:tc>
        <w:tc>
          <w:tcPr>
            <w:tcW w:w="6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5F3F89" w14:textId="77777777" w:rsidR="000441E4" w:rsidRPr="002B36CC" w:rsidRDefault="000441E4" w:rsidP="00F25C12">
            <w:pPr>
              <w:shd w:val="clear" w:color="auto" w:fill="FFFFFF"/>
              <w:spacing w:line="48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105</w:t>
            </w:r>
          </w:p>
        </w:tc>
        <w:tc>
          <w:tcPr>
            <w:tcW w:w="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151D7F" w14:textId="77777777" w:rsidR="000441E4" w:rsidRPr="002B36CC" w:rsidRDefault="000441E4" w:rsidP="00F25C12">
            <w:pPr>
              <w:shd w:val="clear" w:color="auto" w:fill="FFFFFF"/>
              <w:spacing w:line="48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-7.55</w:t>
            </w:r>
          </w:p>
        </w:tc>
        <w:tc>
          <w:tcPr>
            <w:tcW w:w="9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91969DA" w14:textId="0C9B5429" w:rsidR="000441E4" w:rsidRPr="002B36CC" w:rsidRDefault="000441E4" w:rsidP="00F25C12">
            <w:pPr>
              <w:shd w:val="clear" w:color="auto" w:fill="FFFFFF"/>
              <w:spacing w:line="480" w:lineRule="auto"/>
              <w:rPr>
                <w:rFonts w:ascii="Helvetica" w:eastAsia="Times New Roman" w:hAnsi="Helvetica" w:cs="Times New Roman"/>
                <w:sz w:val="24"/>
                <w:szCs w:val="24"/>
              </w:rPr>
            </w:pPr>
            <w:r w:rsidRPr="002B36CC">
              <w:rPr>
                <w:rFonts w:ascii="Helvetica" w:eastAsia="Times New Roman" w:hAnsi="Helvetica" w:cs="Times New Roman"/>
                <w:sz w:val="24"/>
                <w:szCs w:val="24"/>
              </w:rPr>
              <w:t xml:space="preserve"> &lt;.001</w:t>
            </w:r>
          </w:p>
        </w:tc>
        <w:tc>
          <w:tcPr>
            <w:tcW w:w="1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EFEAC6F" w14:textId="77777777" w:rsidR="000441E4" w:rsidRPr="002B36CC" w:rsidRDefault="000441E4" w:rsidP="00F25C12">
            <w:pPr>
              <w:shd w:val="clear" w:color="auto" w:fill="FFFFFF"/>
              <w:spacing w:line="48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0.68</w:t>
            </w:r>
          </w:p>
        </w:tc>
      </w:tr>
      <w:tr w:rsidR="000441E4" w:rsidRPr="002B36CC" w14:paraId="7E066C5C" w14:textId="77777777" w:rsidTr="00F25C12">
        <w:tc>
          <w:tcPr>
            <w:tcW w:w="28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1D4EF72" w14:textId="3B4B4815" w:rsidR="000441E4" w:rsidRPr="002B36CC" w:rsidRDefault="00693FD9" w:rsidP="00F25C12">
            <w:pPr>
              <w:widowControl w:val="0"/>
              <w:spacing w:line="240" w:lineRule="auto"/>
              <w:rPr>
                <w:rFonts w:ascii="Helvetica" w:eastAsia="Times New Roman" w:hAnsi="Helvetica" w:cs="Times New Roman"/>
                <w:sz w:val="24"/>
                <w:szCs w:val="24"/>
              </w:rPr>
            </w:pPr>
            <w:r>
              <w:rPr>
                <w:rFonts w:ascii="Helvetica" w:eastAsia="Times New Roman" w:hAnsi="Helvetica" w:cs="Times New Roman"/>
                <w:sz w:val="24"/>
                <w:szCs w:val="24"/>
              </w:rPr>
              <w:t xml:space="preserve">Q3. </w:t>
            </w:r>
            <w:r w:rsidR="000441E4" w:rsidRPr="002B36CC">
              <w:rPr>
                <w:rFonts w:ascii="Helvetica" w:eastAsia="Times New Roman" w:hAnsi="Helvetica" w:cs="Times New Roman"/>
                <w:sz w:val="24"/>
                <w:szCs w:val="24"/>
              </w:rPr>
              <w:t>How likely are you to determine which health insurance option works best for your health and financial plans?</w:t>
            </w:r>
          </w:p>
        </w:tc>
        <w:tc>
          <w:tcPr>
            <w:tcW w:w="9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F29C45" w14:textId="77777777" w:rsidR="000441E4" w:rsidRPr="002B36CC" w:rsidRDefault="000441E4" w:rsidP="00F25C12">
            <w:pPr>
              <w:widowControl w:val="0"/>
              <w:spacing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2.53</w:t>
            </w:r>
          </w:p>
        </w:tc>
        <w:tc>
          <w:tcPr>
            <w:tcW w:w="7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661AADA" w14:textId="77777777" w:rsidR="000441E4" w:rsidRPr="002B36CC" w:rsidRDefault="000441E4" w:rsidP="00F25C12">
            <w:pPr>
              <w:widowControl w:val="0"/>
              <w:spacing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1.05</w:t>
            </w:r>
          </w:p>
        </w:tc>
        <w:tc>
          <w:tcPr>
            <w:tcW w:w="8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BE45859" w14:textId="77777777" w:rsidR="000441E4" w:rsidRPr="002B36CC" w:rsidRDefault="000441E4" w:rsidP="00F25C12">
            <w:pPr>
              <w:widowControl w:val="0"/>
              <w:spacing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2.96</w:t>
            </w:r>
          </w:p>
        </w:tc>
        <w:tc>
          <w:tcPr>
            <w:tcW w:w="6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21E039C" w14:textId="77777777" w:rsidR="000441E4" w:rsidRPr="002B36CC" w:rsidRDefault="000441E4" w:rsidP="00F25C12">
            <w:pPr>
              <w:widowControl w:val="0"/>
              <w:spacing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.92</w:t>
            </w:r>
          </w:p>
        </w:tc>
        <w:tc>
          <w:tcPr>
            <w:tcW w:w="6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47D30C4" w14:textId="77777777" w:rsidR="000441E4" w:rsidRPr="002B36CC" w:rsidRDefault="000441E4" w:rsidP="00F25C12">
            <w:pPr>
              <w:shd w:val="clear" w:color="auto" w:fill="FFFFFF"/>
              <w:spacing w:line="48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104</w:t>
            </w:r>
          </w:p>
        </w:tc>
        <w:tc>
          <w:tcPr>
            <w:tcW w:w="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1C4B8C8" w14:textId="77777777" w:rsidR="000441E4" w:rsidRPr="002B36CC" w:rsidRDefault="000441E4" w:rsidP="00F25C12">
            <w:pPr>
              <w:shd w:val="clear" w:color="auto" w:fill="FFFFFF"/>
              <w:spacing w:line="48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-5.56</w:t>
            </w:r>
          </w:p>
        </w:tc>
        <w:tc>
          <w:tcPr>
            <w:tcW w:w="9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2F18195" w14:textId="3DF871CD" w:rsidR="000441E4" w:rsidRPr="002B36CC" w:rsidRDefault="000441E4" w:rsidP="00F25C12">
            <w:pPr>
              <w:shd w:val="clear" w:color="auto" w:fill="FFFFFF"/>
              <w:spacing w:line="48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 xml:space="preserve"> &lt;.001</w:t>
            </w:r>
          </w:p>
        </w:tc>
        <w:tc>
          <w:tcPr>
            <w:tcW w:w="11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605226C" w14:textId="77777777" w:rsidR="000441E4" w:rsidRPr="002B36CC" w:rsidRDefault="000441E4" w:rsidP="00F25C12">
            <w:pPr>
              <w:shd w:val="clear" w:color="auto" w:fill="FFFFFF"/>
              <w:spacing w:line="48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0.44</w:t>
            </w:r>
          </w:p>
        </w:tc>
      </w:tr>
      <w:tr w:rsidR="000441E4" w:rsidRPr="002B36CC" w14:paraId="69DA8BC8" w14:textId="77777777" w:rsidTr="00F25C12">
        <w:tc>
          <w:tcPr>
            <w:tcW w:w="283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57781189" w14:textId="0FBCAB98" w:rsidR="000441E4" w:rsidRPr="002B36CC" w:rsidRDefault="00693FD9" w:rsidP="00F25C12">
            <w:pPr>
              <w:widowControl w:val="0"/>
              <w:spacing w:line="240" w:lineRule="auto"/>
              <w:rPr>
                <w:rFonts w:ascii="Helvetica" w:eastAsia="Times New Roman" w:hAnsi="Helvetica" w:cs="Times New Roman"/>
                <w:sz w:val="24"/>
                <w:szCs w:val="24"/>
              </w:rPr>
            </w:pPr>
            <w:r>
              <w:rPr>
                <w:rFonts w:ascii="Helvetica" w:eastAsia="Times New Roman" w:hAnsi="Helvetica" w:cs="Times New Roman"/>
                <w:sz w:val="24"/>
                <w:szCs w:val="24"/>
              </w:rPr>
              <w:t xml:space="preserve">Q4. </w:t>
            </w:r>
            <w:r w:rsidR="000441E4" w:rsidRPr="002B36CC">
              <w:rPr>
                <w:rFonts w:ascii="Helvetica" w:eastAsia="Times New Roman" w:hAnsi="Helvetica" w:cs="Times New Roman"/>
                <w:sz w:val="24"/>
                <w:szCs w:val="24"/>
              </w:rPr>
              <w:t>How likely are you to determine how much you need to save to cover your health care expenses?</w:t>
            </w:r>
          </w:p>
        </w:tc>
        <w:tc>
          <w:tcPr>
            <w:tcW w:w="9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3445A863" w14:textId="77777777" w:rsidR="000441E4" w:rsidRPr="002B36CC" w:rsidRDefault="000441E4" w:rsidP="00F25C12">
            <w:pPr>
              <w:widowControl w:val="0"/>
              <w:spacing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2.40</w:t>
            </w:r>
          </w:p>
        </w:tc>
        <w:tc>
          <w:tcPr>
            <w:tcW w:w="72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6F599BDA" w14:textId="77777777" w:rsidR="000441E4" w:rsidRPr="002B36CC" w:rsidRDefault="000441E4" w:rsidP="00F25C12">
            <w:pPr>
              <w:widowControl w:val="0"/>
              <w:spacing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1.08</w:t>
            </w:r>
          </w:p>
        </w:tc>
        <w:tc>
          <w:tcPr>
            <w:tcW w:w="84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5BBCFBBF" w14:textId="77777777" w:rsidR="000441E4" w:rsidRPr="002B36CC" w:rsidRDefault="000441E4" w:rsidP="00F25C12">
            <w:pPr>
              <w:widowControl w:val="0"/>
              <w:spacing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2.89</w:t>
            </w:r>
          </w:p>
        </w:tc>
        <w:tc>
          <w:tcPr>
            <w:tcW w:w="60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7C12AA78" w14:textId="77777777" w:rsidR="000441E4" w:rsidRPr="002B36CC" w:rsidRDefault="000441E4" w:rsidP="00F25C12">
            <w:pPr>
              <w:widowControl w:val="0"/>
              <w:spacing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.90</w:t>
            </w:r>
          </w:p>
        </w:tc>
        <w:tc>
          <w:tcPr>
            <w:tcW w:w="63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7322C6DC" w14:textId="77777777" w:rsidR="000441E4" w:rsidRPr="002B36CC" w:rsidRDefault="000441E4" w:rsidP="00F25C12">
            <w:pPr>
              <w:shd w:val="clear" w:color="auto" w:fill="FFFFFF"/>
              <w:spacing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106</w:t>
            </w:r>
          </w:p>
        </w:tc>
        <w:tc>
          <w:tcPr>
            <w:tcW w:w="81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1833DD23" w14:textId="77777777" w:rsidR="000441E4" w:rsidRPr="002B36CC" w:rsidRDefault="000441E4" w:rsidP="00F25C12">
            <w:pPr>
              <w:shd w:val="clear" w:color="auto" w:fill="FFFFFF"/>
              <w:spacing w:line="24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-5.88</w:t>
            </w:r>
          </w:p>
        </w:tc>
        <w:tc>
          <w:tcPr>
            <w:tcW w:w="91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18B73AE5" w14:textId="7F329531" w:rsidR="000441E4" w:rsidRPr="002B36CC" w:rsidRDefault="000441E4" w:rsidP="00F25C12">
            <w:pPr>
              <w:shd w:val="clear" w:color="auto" w:fill="FFFFFF"/>
              <w:spacing w:line="48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 xml:space="preserve"> &lt;.001</w:t>
            </w:r>
          </w:p>
        </w:tc>
        <w:tc>
          <w:tcPr>
            <w:tcW w:w="111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485B18FD" w14:textId="77777777" w:rsidR="000441E4" w:rsidRPr="002B36CC" w:rsidRDefault="000441E4" w:rsidP="00F25C12">
            <w:pPr>
              <w:shd w:val="clear" w:color="auto" w:fill="FFFFFF"/>
              <w:spacing w:line="480" w:lineRule="auto"/>
              <w:jc w:val="center"/>
              <w:rPr>
                <w:rFonts w:ascii="Helvetica" w:eastAsia="Times New Roman" w:hAnsi="Helvetica" w:cs="Times New Roman"/>
                <w:sz w:val="24"/>
                <w:szCs w:val="24"/>
              </w:rPr>
            </w:pPr>
            <w:r w:rsidRPr="002B36CC">
              <w:rPr>
                <w:rFonts w:ascii="Helvetica" w:eastAsia="Times New Roman" w:hAnsi="Helvetica" w:cs="Times New Roman"/>
                <w:sz w:val="24"/>
                <w:szCs w:val="24"/>
              </w:rPr>
              <w:t>0.52</w:t>
            </w:r>
          </w:p>
        </w:tc>
      </w:tr>
    </w:tbl>
    <w:p w14:paraId="6F00215B" w14:textId="566385D0" w:rsidR="00AD6747" w:rsidRPr="00693FD9" w:rsidRDefault="00693FD9" w:rsidP="00693FD9">
      <w:pPr>
        <w:pBdr>
          <w:bottom w:val="single" w:sz="12" w:space="1" w:color="auto"/>
        </w:pBdr>
        <w:shd w:val="clear" w:color="auto" w:fill="FFFFFF"/>
        <w:spacing w:after="0" w:line="240" w:lineRule="auto"/>
        <w:jc w:val="center"/>
        <w:rPr>
          <w:rFonts w:ascii="Helvetica" w:eastAsia="Times New Roman" w:hAnsi="Helvetica" w:cs="Times New Roman"/>
          <w:sz w:val="18"/>
          <w:szCs w:val="18"/>
        </w:rPr>
      </w:pPr>
      <w:r w:rsidRPr="00693FD9">
        <w:rPr>
          <w:rFonts w:ascii="Helvetica" w:eastAsia="Times New Roman" w:hAnsi="Helvetica" w:cs="Times New Roman"/>
          <w:sz w:val="18"/>
          <w:szCs w:val="18"/>
        </w:rPr>
        <w:t>Note. Scale: Q1, Q</w:t>
      </w:r>
      <w:proofErr w:type="gramStart"/>
      <w:r w:rsidRPr="00693FD9">
        <w:rPr>
          <w:rFonts w:ascii="Helvetica" w:eastAsia="Times New Roman" w:hAnsi="Helvetica" w:cs="Times New Roman"/>
          <w:sz w:val="18"/>
          <w:szCs w:val="18"/>
        </w:rPr>
        <w:t>2 :</w:t>
      </w:r>
      <w:proofErr w:type="gramEnd"/>
      <w:r w:rsidRPr="00693FD9">
        <w:rPr>
          <w:rFonts w:ascii="Helvetica" w:eastAsia="Times New Roman" w:hAnsi="Helvetica" w:cs="Times New Roman"/>
          <w:sz w:val="18"/>
          <w:szCs w:val="18"/>
        </w:rPr>
        <w:t xml:space="preserve"> Not at all confident=1, Slightly confident=2, Moderately confident=1, Very confident=4.</w:t>
      </w:r>
    </w:p>
    <w:p w14:paraId="1F2AD057" w14:textId="6FAE779F" w:rsidR="00693FD9" w:rsidRDefault="00693FD9" w:rsidP="00693FD9">
      <w:pPr>
        <w:pBdr>
          <w:bottom w:val="single" w:sz="12" w:space="1" w:color="auto"/>
        </w:pBdr>
        <w:shd w:val="clear" w:color="auto" w:fill="FFFFFF"/>
        <w:spacing w:after="0" w:line="240" w:lineRule="auto"/>
        <w:jc w:val="center"/>
        <w:rPr>
          <w:rFonts w:ascii="Helvetica" w:eastAsia="Times New Roman" w:hAnsi="Helvetica" w:cs="Times New Roman"/>
          <w:sz w:val="20"/>
          <w:szCs w:val="20"/>
        </w:rPr>
      </w:pPr>
      <w:r w:rsidRPr="00693FD9">
        <w:rPr>
          <w:rFonts w:ascii="Helvetica" w:eastAsia="Times New Roman" w:hAnsi="Helvetica" w:cs="Times New Roman"/>
          <w:sz w:val="18"/>
          <w:szCs w:val="18"/>
        </w:rPr>
        <w:t>Q</w:t>
      </w:r>
      <w:r w:rsidR="00C85E20">
        <w:rPr>
          <w:rFonts w:ascii="Helvetica" w:eastAsia="Times New Roman" w:hAnsi="Helvetica" w:cs="Times New Roman"/>
          <w:sz w:val="18"/>
          <w:szCs w:val="18"/>
        </w:rPr>
        <w:t>3</w:t>
      </w:r>
      <w:r w:rsidRPr="00693FD9">
        <w:rPr>
          <w:rFonts w:ascii="Helvetica" w:eastAsia="Times New Roman" w:hAnsi="Helvetica" w:cs="Times New Roman"/>
          <w:sz w:val="18"/>
          <w:szCs w:val="18"/>
        </w:rPr>
        <w:t>, Q4: Not at all likely=1, Slightly likely=2, Moderately likely=3, Very likely=4</w:t>
      </w:r>
    </w:p>
    <w:p w14:paraId="48DB80EF" w14:textId="77777777" w:rsidR="00693FD9" w:rsidRPr="00693FD9" w:rsidRDefault="00693FD9" w:rsidP="00693FD9">
      <w:pPr>
        <w:shd w:val="clear" w:color="auto" w:fill="FFFFFF"/>
        <w:spacing w:after="0" w:line="360" w:lineRule="auto"/>
        <w:rPr>
          <w:rFonts w:ascii="Helvetica" w:eastAsia="Times New Roman" w:hAnsi="Helvetica" w:cs="Times New Roman"/>
          <w:sz w:val="20"/>
          <w:szCs w:val="20"/>
        </w:rPr>
      </w:pPr>
    </w:p>
    <w:p w14:paraId="5F1BE958" w14:textId="77777777" w:rsidR="00652D12" w:rsidRDefault="00652D12" w:rsidP="00AD6747">
      <w:pPr>
        <w:shd w:val="clear" w:color="auto" w:fill="FFFFFF"/>
        <w:spacing w:after="0" w:line="360" w:lineRule="auto"/>
        <w:jc w:val="center"/>
        <w:rPr>
          <w:rFonts w:ascii="Helvetica" w:eastAsia="Times New Roman" w:hAnsi="Helvetica" w:cs="Times New Roman"/>
          <w:b/>
          <w:sz w:val="24"/>
          <w:szCs w:val="24"/>
        </w:rPr>
      </w:pPr>
      <w:bookmarkStart w:id="0" w:name="_heading=h.gjdgxs" w:colFirst="0" w:colLast="0"/>
      <w:bookmarkEnd w:id="0"/>
    </w:p>
    <w:p w14:paraId="39A8EA7F" w14:textId="77777777" w:rsidR="0028608B" w:rsidRDefault="0028608B" w:rsidP="00AD6747">
      <w:pPr>
        <w:shd w:val="clear" w:color="auto" w:fill="FFFFFF"/>
        <w:spacing w:after="0" w:line="360" w:lineRule="auto"/>
        <w:jc w:val="center"/>
        <w:rPr>
          <w:rFonts w:ascii="Helvetica" w:eastAsia="Times New Roman" w:hAnsi="Helvetica" w:cs="Times New Roman"/>
          <w:b/>
          <w:sz w:val="24"/>
          <w:szCs w:val="24"/>
        </w:rPr>
      </w:pPr>
    </w:p>
    <w:p w14:paraId="00000044" w14:textId="14BD350D" w:rsidR="009E303A" w:rsidRPr="002B36CC" w:rsidRDefault="002A5132" w:rsidP="00AD6747">
      <w:pPr>
        <w:shd w:val="clear" w:color="auto" w:fill="FFFFFF"/>
        <w:spacing w:after="0" w:line="360" w:lineRule="auto"/>
        <w:jc w:val="center"/>
        <w:rPr>
          <w:rFonts w:ascii="Helvetica" w:eastAsia="Times New Roman" w:hAnsi="Helvetica" w:cs="Times New Roman"/>
          <w:b/>
          <w:sz w:val="24"/>
          <w:szCs w:val="24"/>
        </w:rPr>
      </w:pPr>
      <w:r w:rsidRPr="002B36CC">
        <w:rPr>
          <w:rFonts w:ascii="Helvetica" w:eastAsia="Times New Roman" w:hAnsi="Helvetica" w:cs="Times New Roman"/>
          <w:b/>
          <w:sz w:val="24"/>
          <w:szCs w:val="24"/>
        </w:rPr>
        <w:lastRenderedPageBreak/>
        <w:t>Discussion</w:t>
      </w:r>
    </w:p>
    <w:p w14:paraId="6875F3CB" w14:textId="0EBEDB1F" w:rsidR="00D12A31" w:rsidRDefault="002A5132" w:rsidP="00AD6747">
      <w:pPr>
        <w:spacing w:after="0" w:line="360" w:lineRule="auto"/>
        <w:rPr>
          <w:rFonts w:ascii="Helvetica" w:eastAsia="Times New Roman" w:hAnsi="Helvetica" w:cs="Times New Roman"/>
          <w:sz w:val="24"/>
          <w:szCs w:val="24"/>
        </w:rPr>
      </w:pPr>
      <w:r w:rsidRPr="002B36CC">
        <w:rPr>
          <w:rFonts w:ascii="Helvetica" w:eastAsia="Times New Roman" w:hAnsi="Helvetica" w:cs="Times New Roman"/>
          <w:sz w:val="24"/>
          <w:szCs w:val="24"/>
        </w:rPr>
        <w:t>Baby Boomers</w:t>
      </w:r>
      <w:r w:rsidR="00B42995" w:rsidRPr="002B36CC">
        <w:rPr>
          <w:rFonts w:ascii="Helvetica" w:eastAsia="Times New Roman" w:hAnsi="Helvetica" w:cs="Times New Roman"/>
          <w:sz w:val="24"/>
          <w:szCs w:val="24"/>
        </w:rPr>
        <w:t>, the group born in the post WWII years of 1946-1964,</w:t>
      </w:r>
      <w:r w:rsidRPr="002B36CC">
        <w:rPr>
          <w:rFonts w:ascii="Helvetica" w:eastAsia="Times New Roman" w:hAnsi="Helvetica" w:cs="Times New Roman"/>
          <w:sz w:val="24"/>
          <w:szCs w:val="24"/>
        </w:rPr>
        <w:t xml:space="preserve"> are the second largest generation with an estimated 73 million people (Census, </w:t>
      </w:r>
      <w:r w:rsidR="00F54E01">
        <w:rPr>
          <w:rFonts w:ascii="Helvetica" w:eastAsia="Times New Roman" w:hAnsi="Helvetica" w:cs="Times New Roman"/>
          <w:sz w:val="24"/>
          <w:szCs w:val="24"/>
        </w:rPr>
        <w:t>2020</w:t>
      </w:r>
      <w:r w:rsidRPr="002B36CC">
        <w:rPr>
          <w:rFonts w:ascii="Helvetica" w:eastAsia="Times New Roman" w:hAnsi="Helvetica" w:cs="Times New Roman"/>
          <w:sz w:val="24"/>
          <w:szCs w:val="24"/>
        </w:rPr>
        <w:t>).</w:t>
      </w:r>
      <w:r w:rsidR="002A2D89" w:rsidRPr="002B36CC">
        <w:rPr>
          <w:rFonts w:ascii="Helvetica" w:eastAsia="Times New Roman" w:hAnsi="Helvetica" w:cs="Times New Roman"/>
          <w:sz w:val="24"/>
          <w:szCs w:val="24"/>
        </w:rPr>
        <w:t xml:space="preserve"> </w:t>
      </w:r>
      <w:r w:rsidRPr="002B36CC">
        <w:rPr>
          <w:rFonts w:ascii="Helvetica" w:eastAsia="Times New Roman" w:hAnsi="Helvetica" w:cs="Times New Roman"/>
          <w:sz w:val="24"/>
          <w:szCs w:val="24"/>
        </w:rPr>
        <w:t>With about 10,000 individuals turning 65 each day, by the year 2030 all baby boomers will be age 65 or older.</w:t>
      </w:r>
      <w:r w:rsidR="002A2D89" w:rsidRPr="002B36CC">
        <w:rPr>
          <w:rFonts w:ascii="Helvetica" w:eastAsia="Times New Roman" w:hAnsi="Helvetica" w:cs="Times New Roman"/>
          <w:sz w:val="24"/>
          <w:szCs w:val="24"/>
        </w:rPr>
        <w:t xml:space="preserve"> </w:t>
      </w:r>
      <w:r w:rsidR="00087075" w:rsidRPr="002B36CC">
        <w:rPr>
          <w:rFonts w:ascii="Helvetica" w:eastAsia="Times New Roman" w:hAnsi="Helvetica" w:cs="Times New Roman"/>
          <w:sz w:val="24"/>
          <w:szCs w:val="24"/>
        </w:rPr>
        <w:t xml:space="preserve">This is also true in agriculture where the average age is currently 57.5 years (USDA, 2017) and increasing. </w:t>
      </w:r>
      <w:r w:rsidR="00D12A31">
        <w:rPr>
          <w:rFonts w:ascii="Helvetica" w:eastAsia="Times New Roman" w:hAnsi="Helvetica" w:cs="Times New Roman"/>
          <w:sz w:val="24"/>
          <w:szCs w:val="24"/>
        </w:rPr>
        <w:t>There is a seven-month windo</w:t>
      </w:r>
      <w:r w:rsidR="0021140F">
        <w:rPr>
          <w:rFonts w:ascii="Helvetica" w:eastAsia="Times New Roman" w:hAnsi="Helvetica" w:cs="Times New Roman"/>
          <w:sz w:val="24"/>
          <w:szCs w:val="24"/>
        </w:rPr>
        <w:t>w (three months before age</w:t>
      </w:r>
      <w:r w:rsidR="00D12A31">
        <w:rPr>
          <w:rFonts w:ascii="Helvetica" w:eastAsia="Times New Roman" w:hAnsi="Helvetica" w:cs="Times New Roman"/>
          <w:sz w:val="24"/>
          <w:szCs w:val="24"/>
        </w:rPr>
        <w:t xml:space="preserve"> 65 and three months after) to make initial decisions about Medicare and other health insurance options</w:t>
      </w:r>
      <w:r w:rsidR="0031563B">
        <w:rPr>
          <w:rFonts w:ascii="Helvetica" w:eastAsia="Times New Roman" w:hAnsi="Helvetica" w:cs="Times New Roman"/>
          <w:sz w:val="24"/>
          <w:szCs w:val="24"/>
        </w:rPr>
        <w:t xml:space="preserve"> and every year thereafter</w:t>
      </w:r>
      <w:r w:rsidR="00D12A31">
        <w:rPr>
          <w:rFonts w:ascii="Helvetica" w:eastAsia="Times New Roman" w:hAnsi="Helvetica" w:cs="Times New Roman"/>
          <w:sz w:val="24"/>
          <w:szCs w:val="24"/>
        </w:rPr>
        <w:t xml:space="preserve">. </w:t>
      </w:r>
      <w:r w:rsidRPr="002B36CC">
        <w:rPr>
          <w:rFonts w:ascii="Helvetica" w:eastAsia="Times New Roman" w:hAnsi="Helvetica" w:cs="Times New Roman"/>
          <w:sz w:val="24"/>
          <w:szCs w:val="24"/>
        </w:rPr>
        <w:t>As they ag</w:t>
      </w:r>
      <w:r w:rsidR="008D782E" w:rsidRPr="002B36CC">
        <w:rPr>
          <w:rFonts w:ascii="Helvetica" w:eastAsia="Times New Roman" w:hAnsi="Helvetica" w:cs="Times New Roman"/>
          <w:sz w:val="24"/>
          <w:szCs w:val="24"/>
        </w:rPr>
        <w:t>e, understanding the health</w:t>
      </w:r>
      <w:r w:rsidRPr="002B36CC">
        <w:rPr>
          <w:rFonts w:ascii="Helvetica" w:eastAsia="Times New Roman" w:hAnsi="Helvetica" w:cs="Times New Roman"/>
          <w:sz w:val="24"/>
          <w:szCs w:val="24"/>
        </w:rPr>
        <w:t xml:space="preserve"> insurance options and their respective financial implications will help ensure improved access to health care and a more secur</w:t>
      </w:r>
      <w:r w:rsidR="00087075" w:rsidRPr="002B36CC">
        <w:rPr>
          <w:rFonts w:ascii="Helvetica" w:eastAsia="Times New Roman" w:hAnsi="Helvetica" w:cs="Times New Roman"/>
          <w:sz w:val="24"/>
          <w:szCs w:val="24"/>
        </w:rPr>
        <w:t xml:space="preserve">e financial future. </w:t>
      </w:r>
    </w:p>
    <w:p w14:paraId="5A89EFD1" w14:textId="77777777" w:rsidR="00D12A31" w:rsidRDefault="00D12A31" w:rsidP="00AD6747">
      <w:pPr>
        <w:spacing w:after="0" w:line="360" w:lineRule="auto"/>
        <w:rPr>
          <w:rFonts w:ascii="Helvetica" w:eastAsia="Times New Roman" w:hAnsi="Helvetica" w:cs="Times New Roman"/>
          <w:sz w:val="24"/>
          <w:szCs w:val="24"/>
        </w:rPr>
      </w:pPr>
    </w:p>
    <w:p w14:paraId="6B80D78F" w14:textId="282EF137" w:rsidR="00BF549D" w:rsidRDefault="00BF549D" w:rsidP="00BF549D">
      <w:pPr>
        <w:spacing w:after="0" w:line="360" w:lineRule="auto"/>
        <w:rPr>
          <w:rFonts w:ascii="Helvetica" w:eastAsia="Times New Roman" w:hAnsi="Helvetica" w:cs="Times New Roman"/>
          <w:sz w:val="24"/>
          <w:szCs w:val="24"/>
        </w:rPr>
      </w:pPr>
      <w:r>
        <w:rPr>
          <w:rFonts w:ascii="Helvetica" w:eastAsia="Times New Roman" w:hAnsi="Helvetica" w:cs="Times New Roman"/>
          <w:sz w:val="24"/>
          <w:szCs w:val="24"/>
        </w:rPr>
        <w:t xml:space="preserve">Extension educators are active in working with farmers to help them plan for farm succession, often with workshops covering general retirement planning. However, these educational programs typically do not address the importance of planning for health insurance and its costs. As previously mentioned, these health insurance costs are significant, totaling as much as $280,000 for a couple retiring at age 65 (Fidelity.com, 2018). Such a significant sum of money has the potential to affect personal finances during retirement and farm succession. Additionally, choosing the most appropriate and cost-effective plan can help maintain good financial and physical health. Therefore, programs like this are an important part of retirement and farm succession planning and extension educators are positioned to deliver programs like this to their existing farm succession planning audiences. </w:t>
      </w:r>
    </w:p>
    <w:p w14:paraId="2769787A" w14:textId="77777777" w:rsidR="00D12A31" w:rsidRDefault="00D12A31" w:rsidP="00AD6747">
      <w:pPr>
        <w:spacing w:after="0" w:line="360" w:lineRule="auto"/>
        <w:rPr>
          <w:rFonts w:ascii="Helvetica" w:eastAsia="Times New Roman" w:hAnsi="Helvetica" w:cs="Times New Roman"/>
          <w:sz w:val="24"/>
          <w:szCs w:val="24"/>
        </w:rPr>
      </w:pPr>
    </w:p>
    <w:p w14:paraId="00000046" w14:textId="0B87719A" w:rsidR="009E303A" w:rsidRPr="002B36CC" w:rsidRDefault="00840578" w:rsidP="00AD6747">
      <w:pPr>
        <w:spacing w:after="0" w:line="360" w:lineRule="auto"/>
        <w:rPr>
          <w:rFonts w:ascii="Helvetica" w:eastAsia="Times New Roman" w:hAnsi="Helvetica" w:cs="Times New Roman"/>
          <w:sz w:val="24"/>
          <w:szCs w:val="24"/>
          <w:highlight w:val="yellow"/>
        </w:rPr>
      </w:pPr>
      <w:r>
        <w:rPr>
          <w:rFonts w:ascii="Helvetica" w:eastAsia="Times New Roman" w:hAnsi="Helvetica" w:cs="Times New Roman"/>
          <w:sz w:val="24"/>
          <w:szCs w:val="24"/>
        </w:rPr>
        <w:t>Extension educators can work with this aging population to encourage them to consider health insurance options, and their cost, as part of their retirement planning process.</w:t>
      </w:r>
      <w:r w:rsidRPr="008061DD">
        <w:rPr>
          <w:rFonts w:ascii="Helvetica" w:eastAsia="Times New Roman" w:hAnsi="Helvetica" w:cs="Times New Roman"/>
          <w:sz w:val="24"/>
          <w:szCs w:val="24"/>
        </w:rPr>
        <w:t xml:space="preserve"> </w:t>
      </w:r>
      <w:proofErr w:type="spellStart"/>
      <w:r w:rsidR="005905BE">
        <w:rPr>
          <w:rFonts w:ascii="Helvetica" w:eastAsia="Times New Roman" w:hAnsi="Helvetica" w:cs="Times New Roman"/>
          <w:sz w:val="24"/>
          <w:szCs w:val="24"/>
        </w:rPr>
        <w:t>Hachfeld</w:t>
      </w:r>
      <w:proofErr w:type="spellEnd"/>
      <w:r w:rsidR="005905BE">
        <w:rPr>
          <w:rFonts w:ascii="Helvetica" w:eastAsia="Times New Roman" w:hAnsi="Helvetica" w:cs="Times New Roman"/>
          <w:sz w:val="24"/>
          <w:szCs w:val="24"/>
        </w:rPr>
        <w:t xml:space="preserve"> (2015) emphasizes the importance of </w:t>
      </w:r>
      <w:r w:rsidR="002D3F7A">
        <w:rPr>
          <w:rFonts w:ascii="Helvetica" w:eastAsia="Times New Roman" w:hAnsi="Helvetica" w:cs="Times New Roman"/>
          <w:sz w:val="24"/>
          <w:szCs w:val="24"/>
        </w:rPr>
        <w:t>long-term</w:t>
      </w:r>
      <w:r w:rsidR="005905BE">
        <w:rPr>
          <w:rFonts w:ascii="Helvetica" w:eastAsia="Times New Roman" w:hAnsi="Helvetica" w:cs="Times New Roman"/>
          <w:sz w:val="24"/>
          <w:szCs w:val="24"/>
        </w:rPr>
        <w:t xml:space="preserve"> health care planning as an important aspect of farm </w:t>
      </w:r>
      <w:r w:rsidR="0021140F">
        <w:rPr>
          <w:rFonts w:ascii="Helvetica" w:eastAsia="Times New Roman" w:hAnsi="Helvetica" w:cs="Times New Roman"/>
          <w:sz w:val="24"/>
          <w:szCs w:val="24"/>
        </w:rPr>
        <w:t xml:space="preserve">transition. </w:t>
      </w:r>
      <w:proofErr w:type="spellStart"/>
      <w:r w:rsidR="0021140F">
        <w:rPr>
          <w:rFonts w:ascii="Helvetica" w:eastAsia="Times New Roman" w:hAnsi="Helvetica" w:cs="Times New Roman"/>
          <w:sz w:val="24"/>
          <w:szCs w:val="24"/>
        </w:rPr>
        <w:t>Hatchfeld</w:t>
      </w:r>
      <w:proofErr w:type="spellEnd"/>
      <w:r w:rsidR="0021140F">
        <w:rPr>
          <w:rFonts w:ascii="Helvetica" w:eastAsia="Times New Roman" w:hAnsi="Helvetica" w:cs="Times New Roman"/>
          <w:sz w:val="24"/>
          <w:szCs w:val="24"/>
        </w:rPr>
        <w:t xml:space="preserve"> also shares the alarming increase in health care costs and the potential impact on the farm business.</w:t>
      </w:r>
      <w:r w:rsidR="005905BE">
        <w:rPr>
          <w:rFonts w:ascii="Helvetica" w:eastAsia="Times New Roman" w:hAnsi="Helvetica" w:cs="Times New Roman"/>
          <w:sz w:val="24"/>
          <w:szCs w:val="24"/>
        </w:rPr>
        <w:t xml:space="preserve"> </w:t>
      </w:r>
      <w:r>
        <w:rPr>
          <w:rFonts w:ascii="Helvetica" w:eastAsia="Times New Roman" w:hAnsi="Helvetica" w:cs="Times New Roman"/>
          <w:sz w:val="24"/>
          <w:szCs w:val="24"/>
        </w:rPr>
        <w:t xml:space="preserve">By considering these costs in the farm succession planning process, extension educators can help older </w:t>
      </w:r>
      <w:r>
        <w:rPr>
          <w:rFonts w:ascii="Helvetica" w:eastAsia="Times New Roman" w:hAnsi="Helvetica" w:cs="Times New Roman"/>
          <w:sz w:val="24"/>
          <w:szCs w:val="24"/>
        </w:rPr>
        <w:lastRenderedPageBreak/>
        <w:t>adults get the unbiased and understandable information they need to make the best possible decision about health insurance in their senior years.</w:t>
      </w:r>
    </w:p>
    <w:p w14:paraId="49BD477F" w14:textId="77777777" w:rsidR="00AD6747" w:rsidRPr="002B36CC" w:rsidRDefault="00AD6747" w:rsidP="00AD6747">
      <w:pPr>
        <w:spacing w:after="0" w:line="360" w:lineRule="auto"/>
        <w:rPr>
          <w:rFonts w:ascii="Helvetica" w:eastAsia="Times New Roman" w:hAnsi="Helvetica" w:cs="Times New Roman"/>
          <w:sz w:val="24"/>
          <w:szCs w:val="24"/>
        </w:rPr>
      </w:pPr>
    </w:p>
    <w:p w14:paraId="52249487" w14:textId="77777777" w:rsidR="00840578" w:rsidRDefault="00840578" w:rsidP="00840578">
      <w:pPr>
        <w:spacing w:after="0" w:line="360" w:lineRule="auto"/>
        <w:rPr>
          <w:rFonts w:ascii="Helvetica" w:eastAsia="Times New Roman" w:hAnsi="Helvetica" w:cs="Times New Roman"/>
          <w:sz w:val="24"/>
          <w:szCs w:val="24"/>
        </w:rPr>
      </w:pPr>
      <w:r w:rsidRPr="002B36CC">
        <w:rPr>
          <w:rFonts w:ascii="Helvetica" w:eastAsia="Times New Roman" w:hAnsi="Helvetica" w:cs="Times New Roman"/>
          <w:sz w:val="24"/>
          <w:szCs w:val="24"/>
        </w:rPr>
        <w:t xml:space="preserve">Results from the </w:t>
      </w:r>
      <w:r w:rsidRPr="002B36CC">
        <w:rPr>
          <w:rFonts w:ascii="Helvetica" w:eastAsia="Times New Roman" w:hAnsi="Helvetica" w:cs="Times New Roman"/>
          <w:i/>
          <w:sz w:val="24"/>
          <w:szCs w:val="24"/>
        </w:rPr>
        <w:t>Health Insurance in Your Senior Years</w:t>
      </w:r>
      <w:r w:rsidRPr="002B36CC">
        <w:rPr>
          <w:rFonts w:ascii="Helvetica" w:eastAsia="Times New Roman" w:hAnsi="Helvetica" w:cs="Times New Roman"/>
          <w:sz w:val="24"/>
          <w:szCs w:val="24"/>
        </w:rPr>
        <w:t xml:space="preserve"> evaluation indicate</w:t>
      </w:r>
      <w:r>
        <w:rPr>
          <w:rFonts w:ascii="Helvetica" w:eastAsia="Times New Roman" w:hAnsi="Helvetica" w:cs="Times New Roman"/>
          <w:sz w:val="24"/>
          <w:szCs w:val="24"/>
        </w:rPr>
        <w:t xml:space="preserve"> that this workshop significantly increases confidence in understanding of health insurance options and costs. The workshop relies on clear and easy to understand information, accessible local and online resources, and hands on practice using a case study.</w:t>
      </w:r>
      <w:r w:rsidRPr="002B36CC">
        <w:rPr>
          <w:rFonts w:ascii="Helvetica" w:eastAsia="Times New Roman" w:hAnsi="Helvetica" w:cs="Times New Roman"/>
          <w:sz w:val="24"/>
          <w:szCs w:val="24"/>
        </w:rPr>
        <w:t xml:space="preserve"> The study also indicates an increase in likelihood to estimate the health insurance plan costs and to choose a plan that suits their health care needs given their financial resources.</w:t>
      </w:r>
      <w:r>
        <w:rPr>
          <w:rFonts w:ascii="Helvetica" w:eastAsia="Times New Roman" w:hAnsi="Helvetica" w:cs="Times New Roman"/>
          <w:sz w:val="24"/>
          <w:szCs w:val="24"/>
        </w:rPr>
        <w:t xml:space="preserve"> According to social learning theory, the increased confidence should support self-efficacy and increase the likelihood that participants engage in these specific behaviors. If participants estimate their health insurance costs and identify the best plan to help reduce those costs, it would help improve their financial resiliency as they plan for retirement and farm succession.</w:t>
      </w:r>
      <w:r w:rsidRPr="002B36CC">
        <w:rPr>
          <w:rFonts w:ascii="Helvetica" w:eastAsia="Times New Roman" w:hAnsi="Helvetica" w:cs="Times New Roman"/>
          <w:sz w:val="24"/>
          <w:szCs w:val="24"/>
        </w:rPr>
        <w:t xml:space="preserve"> Extension educators can use this module in their community to meet the needs of the Baby Boomer generation and others as they plan for, and transition into, their senior years. </w:t>
      </w:r>
    </w:p>
    <w:p w14:paraId="39559897" w14:textId="38CC69C0" w:rsidR="00C85E20" w:rsidRDefault="00C85E20" w:rsidP="00AD6747">
      <w:pPr>
        <w:spacing w:after="0" w:line="360" w:lineRule="auto"/>
        <w:rPr>
          <w:rFonts w:ascii="Helvetica" w:eastAsia="Times New Roman" w:hAnsi="Helvetica" w:cs="Times New Roman"/>
          <w:sz w:val="24"/>
          <w:szCs w:val="24"/>
        </w:rPr>
      </w:pPr>
    </w:p>
    <w:p w14:paraId="5936B23D" w14:textId="192D2100" w:rsidR="00840578" w:rsidRPr="002B36CC" w:rsidRDefault="00840578" w:rsidP="00840578">
      <w:pPr>
        <w:spacing w:after="0" w:line="360" w:lineRule="auto"/>
        <w:rPr>
          <w:rFonts w:ascii="Helvetica" w:eastAsia="Times New Roman" w:hAnsi="Helvetica" w:cs="Times New Roman"/>
          <w:sz w:val="24"/>
          <w:szCs w:val="24"/>
        </w:rPr>
      </w:pPr>
      <w:r>
        <w:rPr>
          <w:rFonts w:ascii="Helvetica" w:eastAsia="Times New Roman" w:hAnsi="Helvetica" w:cs="Times New Roman"/>
          <w:sz w:val="24"/>
          <w:szCs w:val="24"/>
        </w:rPr>
        <w:t xml:space="preserve">The </w:t>
      </w:r>
      <w:r w:rsidRPr="0031563B">
        <w:rPr>
          <w:rFonts w:ascii="Helvetica" w:eastAsia="Times New Roman" w:hAnsi="Helvetica" w:cs="Times New Roman"/>
          <w:i/>
          <w:sz w:val="24"/>
          <w:szCs w:val="24"/>
        </w:rPr>
        <w:t>Health Insurance Literacy Initiative</w:t>
      </w:r>
      <w:r>
        <w:rPr>
          <w:rFonts w:ascii="Helvetica" w:eastAsia="Times New Roman" w:hAnsi="Helvetica" w:cs="Times New Roman"/>
          <w:sz w:val="24"/>
          <w:szCs w:val="24"/>
        </w:rPr>
        <w:t xml:space="preserve"> (HILI) developed the module and is available for others to use. Extension educators access the training materials upon completion of a certified educator workshop. The training materials include a PowerPoint with training notes, a case study with answers, factsheets that reinforce module topics, and reliable resources for further information. </w:t>
      </w:r>
      <w:r w:rsidR="009F0E97">
        <w:rPr>
          <w:rFonts w:ascii="Helvetica" w:eastAsia="Times New Roman" w:hAnsi="Helvetica" w:cs="Times New Roman"/>
          <w:sz w:val="24"/>
          <w:szCs w:val="24"/>
        </w:rPr>
        <w:t>The HILI</w:t>
      </w:r>
      <w:r>
        <w:rPr>
          <w:rFonts w:ascii="Helvetica" w:eastAsia="Times New Roman" w:hAnsi="Helvetica" w:cs="Times New Roman"/>
          <w:sz w:val="24"/>
          <w:szCs w:val="24"/>
        </w:rPr>
        <w:t xml:space="preserve"> team can provide this workshop and training information with extension educators across the country. Educators who participate in the training will have a greater understanding of importance of these healthcare decisions and how they affect retirement planning. They will also be more prepared to provide this information in their communities and ensure that their audiences have the information they need to make the best decision for them, their health, and their finances at this important life transition stage. </w:t>
      </w:r>
    </w:p>
    <w:p w14:paraId="4049EE1B" w14:textId="77777777" w:rsidR="0028608B" w:rsidRDefault="0028608B" w:rsidP="00F670FB">
      <w:pPr>
        <w:spacing w:after="0" w:line="360" w:lineRule="auto"/>
        <w:jc w:val="center"/>
        <w:rPr>
          <w:rFonts w:ascii="Helvetica" w:eastAsia="Times New Roman" w:hAnsi="Helvetica" w:cs="Times New Roman"/>
          <w:b/>
          <w:sz w:val="24"/>
          <w:szCs w:val="24"/>
        </w:rPr>
      </w:pPr>
    </w:p>
    <w:p w14:paraId="13C39893" w14:textId="77777777" w:rsidR="0028608B" w:rsidRDefault="0028608B" w:rsidP="00F670FB">
      <w:pPr>
        <w:spacing w:after="0" w:line="360" w:lineRule="auto"/>
        <w:jc w:val="center"/>
        <w:rPr>
          <w:rFonts w:ascii="Helvetica" w:eastAsia="Times New Roman" w:hAnsi="Helvetica" w:cs="Times New Roman"/>
          <w:b/>
          <w:sz w:val="24"/>
          <w:szCs w:val="24"/>
        </w:rPr>
      </w:pPr>
    </w:p>
    <w:p w14:paraId="0000004A" w14:textId="6F406084" w:rsidR="009E303A" w:rsidRPr="002B36CC" w:rsidRDefault="002A5132" w:rsidP="00F670FB">
      <w:pPr>
        <w:spacing w:after="0" w:line="360" w:lineRule="auto"/>
        <w:jc w:val="center"/>
        <w:rPr>
          <w:rFonts w:ascii="Helvetica" w:eastAsia="Times New Roman" w:hAnsi="Helvetica" w:cs="Times New Roman"/>
          <w:b/>
          <w:sz w:val="24"/>
          <w:szCs w:val="24"/>
          <w:highlight w:val="yellow"/>
        </w:rPr>
      </w:pPr>
      <w:r w:rsidRPr="002B36CC">
        <w:rPr>
          <w:rFonts w:ascii="Helvetica" w:eastAsia="Times New Roman" w:hAnsi="Helvetica" w:cs="Times New Roman"/>
          <w:b/>
          <w:sz w:val="24"/>
          <w:szCs w:val="24"/>
        </w:rPr>
        <w:lastRenderedPageBreak/>
        <w:t>References</w:t>
      </w:r>
    </w:p>
    <w:p w14:paraId="0000004B" w14:textId="64E521DB" w:rsidR="009E303A" w:rsidRPr="002B36CC" w:rsidRDefault="002A5132" w:rsidP="00F670FB">
      <w:pPr>
        <w:spacing w:before="120" w:after="0" w:line="240" w:lineRule="auto"/>
        <w:ind w:left="720" w:hanging="720"/>
        <w:rPr>
          <w:rFonts w:ascii="Helvetica" w:eastAsia="Times New Roman" w:hAnsi="Helvetica" w:cs="Times New Roman"/>
        </w:rPr>
      </w:pPr>
      <w:r w:rsidRPr="008F1109">
        <w:rPr>
          <w:rFonts w:ascii="Helvetica" w:eastAsia="Times New Roman" w:hAnsi="Helvetica" w:cs="Times New Roman"/>
          <w:b/>
          <w:bCs/>
        </w:rPr>
        <w:t>America’s Health Insurance Plans (2013).</w:t>
      </w:r>
      <w:r w:rsidR="002A2D89" w:rsidRPr="002B36CC">
        <w:rPr>
          <w:rFonts w:ascii="Helvetica" w:eastAsia="Times New Roman" w:hAnsi="Helvetica" w:cs="Times New Roman"/>
        </w:rPr>
        <w:t xml:space="preserve"> </w:t>
      </w:r>
      <w:r w:rsidRPr="002B36CC">
        <w:rPr>
          <w:rFonts w:ascii="Helvetica" w:eastAsia="Times New Roman" w:hAnsi="Helvetica" w:cs="Times New Roman"/>
          <w:i/>
        </w:rPr>
        <w:t>Health Literacy and Am</w:t>
      </w:r>
      <w:r w:rsidR="00F670FB" w:rsidRPr="002B36CC">
        <w:rPr>
          <w:rFonts w:ascii="Helvetica" w:eastAsia="Times New Roman" w:hAnsi="Helvetica" w:cs="Times New Roman"/>
          <w:i/>
        </w:rPr>
        <w:t xml:space="preserve">erica’s Health Insurance Plans: </w:t>
      </w:r>
      <w:r w:rsidRPr="002B36CC">
        <w:rPr>
          <w:rFonts w:ascii="Helvetica" w:eastAsia="Times New Roman" w:hAnsi="Helvetica" w:cs="Times New Roman"/>
          <w:i/>
        </w:rPr>
        <w:t>Laying the Foundation and Beyond</w:t>
      </w:r>
      <w:r w:rsidRPr="002B36CC">
        <w:rPr>
          <w:rFonts w:ascii="Helvetica" w:eastAsia="Times New Roman" w:hAnsi="Helvetica" w:cs="Times New Roman"/>
        </w:rPr>
        <w:t>.</w:t>
      </w:r>
      <w:r w:rsidR="002A2D89" w:rsidRPr="002B36CC">
        <w:rPr>
          <w:rFonts w:ascii="Helvetica" w:eastAsia="Times New Roman" w:hAnsi="Helvetica" w:cs="Times New Roman"/>
        </w:rPr>
        <w:t xml:space="preserve"> </w:t>
      </w:r>
      <w:r w:rsidRPr="002B36CC">
        <w:rPr>
          <w:rFonts w:ascii="Helvetica" w:eastAsia="Times New Roman" w:hAnsi="Helvetica" w:cs="Times New Roman"/>
        </w:rPr>
        <w:t>Summaries of the Health Literacy Activities in 30 AHIP Member Companies.</w:t>
      </w:r>
      <w:r w:rsidR="002A2D89" w:rsidRPr="002B36CC">
        <w:rPr>
          <w:rFonts w:ascii="Helvetica" w:eastAsia="Times New Roman" w:hAnsi="Helvetica" w:cs="Times New Roman"/>
        </w:rPr>
        <w:t xml:space="preserve"> </w:t>
      </w:r>
      <w:r w:rsidRPr="002B36CC">
        <w:rPr>
          <w:rFonts w:ascii="Helvetica" w:eastAsia="Times New Roman" w:hAnsi="Helvetica" w:cs="Times New Roman"/>
        </w:rPr>
        <w:t>Third Edition.</w:t>
      </w:r>
      <w:r w:rsidR="002A2D89" w:rsidRPr="002B36CC">
        <w:rPr>
          <w:rFonts w:ascii="Helvetica" w:eastAsia="Times New Roman" w:hAnsi="Helvetica" w:cs="Times New Roman"/>
        </w:rPr>
        <w:t xml:space="preserve"> </w:t>
      </w:r>
      <w:r w:rsidRPr="002B36CC">
        <w:rPr>
          <w:rFonts w:ascii="Helvetica" w:eastAsia="Times New Roman" w:hAnsi="Helvetica" w:cs="Times New Roman"/>
        </w:rPr>
        <w:t xml:space="preserve">Retrieved from: </w:t>
      </w:r>
      <w:hyperlink r:id="rId8">
        <w:r w:rsidRPr="002B36CC">
          <w:rPr>
            <w:rFonts w:ascii="Helvetica" w:eastAsia="Times New Roman" w:hAnsi="Helvetica" w:cs="Times New Roman"/>
            <w:color w:val="0000FF"/>
            <w:u w:val="single"/>
          </w:rPr>
          <w:t>https://www.ahip.org/wp-content/uploads/2013/11/HealthLiteracyBook2013_Third_Edition.pdf</w:t>
        </w:r>
      </w:hyperlink>
    </w:p>
    <w:p w14:paraId="0000004C" w14:textId="0DEE906F" w:rsidR="009E303A" w:rsidRPr="002B36CC" w:rsidRDefault="002A5132" w:rsidP="00F670FB">
      <w:pPr>
        <w:spacing w:before="120" w:after="0" w:line="240" w:lineRule="auto"/>
        <w:ind w:left="720" w:hanging="720"/>
        <w:rPr>
          <w:rFonts w:ascii="Helvetica" w:eastAsia="Times New Roman" w:hAnsi="Helvetica" w:cs="Times New Roman"/>
          <w:sz w:val="24"/>
          <w:szCs w:val="24"/>
        </w:rPr>
      </w:pPr>
      <w:r w:rsidRPr="008F1109">
        <w:rPr>
          <w:rFonts w:ascii="Helvetica" w:eastAsia="Times New Roman" w:hAnsi="Helvetica" w:cs="Times New Roman"/>
          <w:b/>
          <w:bCs/>
        </w:rPr>
        <w:t>Census (2020).</w:t>
      </w:r>
      <w:r w:rsidR="002A2D89" w:rsidRPr="002B36CC">
        <w:rPr>
          <w:rFonts w:ascii="Helvetica" w:eastAsia="Times New Roman" w:hAnsi="Helvetica" w:cs="Times New Roman"/>
        </w:rPr>
        <w:t xml:space="preserve"> </w:t>
      </w:r>
      <w:r w:rsidRPr="002B36CC">
        <w:rPr>
          <w:rFonts w:ascii="Helvetica" w:eastAsia="Times New Roman" w:hAnsi="Helvetica" w:cs="Times New Roman"/>
        </w:rPr>
        <w:t xml:space="preserve">2020 </w:t>
      </w:r>
      <w:r w:rsidRPr="002B36CC">
        <w:rPr>
          <w:rFonts w:ascii="Helvetica" w:eastAsia="Times New Roman" w:hAnsi="Helvetica" w:cs="Times New Roman"/>
          <w:i/>
        </w:rPr>
        <w:t>Census will help Policy Makers Prepare for the Incoming Wave of Baby Boomers</w:t>
      </w:r>
      <w:r w:rsidRPr="002B36CC">
        <w:rPr>
          <w:rFonts w:ascii="Helvetica" w:eastAsia="Times New Roman" w:hAnsi="Helvetica" w:cs="Times New Roman"/>
        </w:rPr>
        <w:t>.</w:t>
      </w:r>
      <w:r w:rsidR="002A2D89" w:rsidRPr="002B36CC">
        <w:rPr>
          <w:rFonts w:ascii="Helvetica" w:eastAsia="Times New Roman" w:hAnsi="Helvetica" w:cs="Times New Roman"/>
        </w:rPr>
        <w:t xml:space="preserve"> </w:t>
      </w:r>
      <w:r w:rsidRPr="002B36CC">
        <w:rPr>
          <w:rFonts w:ascii="Helvetica" w:eastAsia="Times New Roman" w:hAnsi="Helvetica" w:cs="Times New Roman"/>
        </w:rPr>
        <w:t xml:space="preserve">Retrieved from: </w:t>
      </w:r>
      <w:hyperlink r:id="rId9">
        <w:r w:rsidRPr="002B36CC">
          <w:rPr>
            <w:rFonts w:ascii="Helvetica" w:eastAsia="Times New Roman" w:hAnsi="Helvetica" w:cs="Times New Roman"/>
            <w:color w:val="1155CC"/>
            <w:sz w:val="24"/>
            <w:szCs w:val="24"/>
            <w:u w:val="single"/>
          </w:rPr>
          <w:t>https://www.census.gov/library/stories/2019/12/by-2030-all-baby-boomers-will-be-age-65-or-older.html/</w:t>
        </w:r>
      </w:hyperlink>
    </w:p>
    <w:p w14:paraId="0000004D" w14:textId="77777777" w:rsidR="009E303A" w:rsidRPr="002B36CC" w:rsidRDefault="002A5132" w:rsidP="00F670FB">
      <w:pPr>
        <w:spacing w:before="120" w:after="0" w:line="240" w:lineRule="auto"/>
        <w:ind w:left="720" w:hanging="720"/>
        <w:rPr>
          <w:rFonts w:ascii="Helvetica" w:eastAsia="Times New Roman" w:hAnsi="Helvetica" w:cs="Times New Roman"/>
          <w:sz w:val="24"/>
          <w:szCs w:val="24"/>
        </w:rPr>
      </w:pPr>
      <w:r w:rsidRPr="008F1109">
        <w:rPr>
          <w:rFonts w:ascii="Helvetica" w:eastAsia="Times New Roman" w:hAnsi="Helvetica" w:cs="Times New Roman"/>
          <w:b/>
          <w:bCs/>
          <w:sz w:val="24"/>
          <w:szCs w:val="24"/>
        </w:rPr>
        <w:t>Cohen, J. (1988).</w:t>
      </w:r>
      <w:r w:rsidRPr="002B36CC">
        <w:rPr>
          <w:rFonts w:ascii="Helvetica" w:eastAsia="Times New Roman" w:hAnsi="Helvetica" w:cs="Times New Roman"/>
          <w:sz w:val="24"/>
          <w:szCs w:val="24"/>
        </w:rPr>
        <w:t xml:space="preserve"> </w:t>
      </w:r>
      <w:r w:rsidRPr="002B36CC">
        <w:rPr>
          <w:rFonts w:ascii="Helvetica" w:eastAsia="Times New Roman" w:hAnsi="Helvetica" w:cs="Times New Roman"/>
          <w:i/>
          <w:sz w:val="24"/>
          <w:szCs w:val="24"/>
        </w:rPr>
        <w:t>Statistical power analysis for the behavioral sciences</w:t>
      </w:r>
      <w:r w:rsidRPr="002B36CC">
        <w:rPr>
          <w:rFonts w:ascii="Helvetica" w:eastAsia="Times New Roman" w:hAnsi="Helvetica" w:cs="Times New Roman"/>
          <w:sz w:val="24"/>
          <w:szCs w:val="24"/>
        </w:rPr>
        <w:t xml:space="preserve"> (2nd ed.). Lawrence Erlbaum Associates. </w:t>
      </w:r>
    </w:p>
    <w:p w14:paraId="0000004E" w14:textId="52FBD985" w:rsidR="009E303A" w:rsidRPr="002B36CC" w:rsidRDefault="002A5132" w:rsidP="00F670FB">
      <w:pPr>
        <w:spacing w:before="120" w:after="0" w:line="240" w:lineRule="auto"/>
        <w:ind w:left="720" w:hanging="720"/>
        <w:rPr>
          <w:rFonts w:ascii="Helvetica" w:eastAsia="Times New Roman" w:hAnsi="Helvetica" w:cs="Times New Roman"/>
        </w:rPr>
      </w:pPr>
      <w:r w:rsidRPr="008F1109">
        <w:rPr>
          <w:rFonts w:ascii="Helvetica" w:eastAsia="Times New Roman" w:hAnsi="Helvetica" w:cs="Times New Roman"/>
          <w:b/>
          <w:bCs/>
        </w:rPr>
        <w:t>Fidelity.Com (2018)</w:t>
      </w:r>
      <w:r w:rsidRPr="002B36CC">
        <w:rPr>
          <w:rFonts w:ascii="Helvetica" w:eastAsia="Times New Roman" w:hAnsi="Helvetica" w:cs="Times New Roman"/>
        </w:rPr>
        <w:t xml:space="preserve"> </w:t>
      </w:r>
      <w:r w:rsidRPr="002B36CC">
        <w:rPr>
          <w:rFonts w:ascii="Helvetica" w:eastAsia="Times New Roman" w:hAnsi="Helvetica" w:cs="Times New Roman"/>
          <w:i/>
        </w:rPr>
        <w:t>A Couple Retiring in 2018 Would Need an Estimated $280,000 to Cover Health Care Costs in Retirement, Fidelity® Analysis Shows</w:t>
      </w:r>
      <w:r w:rsidRPr="002B36CC">
        <w:rPr>
          <w:rFonts w:ascii="Helvetica" w:eastAsia="Times New Roman" w:hAnsi="Helvetica" w:cs="Times New Roman"/>
        </w:rPr>
        <w:t>.</w:t>
      </w:r>
      <w:r w:rsidR="002A2D89" w:rsidRPr="002B36CC">
        <w:rPr>
          <w:rFonts w:ascii="Helvetica" w:eastAsia="Times New Roman" w:hAnsi="Helvetica" w:cs="Times New Roman"/>
        </w:rPr>
        <w:t xml:space="preserve"> </w:t>
      </w:r>
      <w:r w:rsidRPr="002B36CC">
        <w:rPr>
          <w:rFonts w:ascii="Helvetica" w:eastAsia="Times New Roman" w:hAnsi="Helvetica" w:cs="Times New Roman"/>
        </w:rPr>
        <w:t xml:space="preserve">Retrieved from: </w:t>
      </w:r>
      <w:hyperlink r:id="rId10">
        <w:r w:rsidRPr="002B36CC">
          <w:rPr>
            <w:rFonts w:ascii="Helvetica" w:eastAsia="Times New Roman" w:hAnsi="Helvetica" w:cs="Times New Roman"/>
            <w:color w:val="0563C1"/>
            <w:u w:val="single"/>
          </w:rPr>
          <w:t>https://www.fidelity.com/about-fidelity/employer-services/a-couple-retiring-in-2018-would-need-estimated-280000</w:t>
        </w:r>
      </w:hyperlink>
    </w:p>
    <w:p w14:paraId="0E4E894A" w14:textId="683BDABF" w:rsidR="002D3F7A" w:rsidRDefault="002D3F7A" w:rsidP="00F670FB">
      <w:pPr>
        <w:spacing w:before="120" w:after="0" w:line="240" w:lineRule="auto"/>
        <w:ind w:left="720" w:hanging="720"/>
        <w:rPr>
          <w:rFonts w:ascii="Helvetica" w:eastAsia="Times New Roman" w:hAnsi="Helvetica" w:cs="Times New Roman"/>
        </w:rPr>
      </w:pPr>
      <w:proofErr w:type="spellStart"/>
      <w:r w:rsidRPr="008F1109">
        <w:rPr>
          <w:rFonts w:ascii="Helvetica" w:eastAsia="Times New Roman" w:hAnsi="Helvetica" w:cs="Times New Roman"/>
          <w:b/>
          <w:bCs/>
        </w:rPr>
        <w:t>Hachfeld</w:t>
      </w:r>
      <w:proofErr w:type="spellEnd"/>
      <w:r w:rsidRPr="008F1109">
        <w:rPr>
          <w:rFonts w:ascii="Helvetica" w:eastAsia="Times New Roman" w:hAnsi="Helvetica" w:cs="Times New Roman"/>
          <w:b/>
          <w:bCs/>
        </w:rPr>
        <w:t>, G. (2015).</w:t>
      </w:r>
      <w:r>
        <w:rPr>
          <w:rFonts w:ascii="Helvetica" w:eastAsia="Times New Roman" w:hAnsi="Helvetica" w:cs="Times New Roman"/>
        </w:rPr>
        <w:t xml:space="preserve"> </w:t>
      </w:r>
      <w:r w:rsidRPr="0021140F">
        <w:rPr>
          <w:rFonts w:ascii="Helvetica" w:eastAsia="Times New Roman" w:hAnsi="Helvetica" w:cs="Times New Roman"/>
          <w:i/>
        </w:rPr>
        <w:t>Long-Term Care Planning: A subset of farm transition programming.</w:t>
      </w:r>
      <w:r>
        <w:rPr>
          <w:rFonts w:ascii="Helvetica" w:eastAsia="Times New Roman" w:hAnsi="Helvetica" w:cs="Times New Roman"/>
        </w:rPr>
        <w:t xml:space="preserve"> Journal of Extension</w:t>
      </w:r>
      <w:r w:rsidR="0021140F">
        <w:rPr>
          <w:rFonts w:ascii="Helvetica" w:eastAsia="Times New Roman" w:hAnsi="Helvetica" w:cs="Times New Roman"/>
        </w:rPr>
        <w:t>,</w:t>
      </w:r>
      <w:r>
        <w:rPr>
          <w:rFonts w:ascii="Helvetica" w:eastAsia="Times New Roman" w:hAnsi="Helvetica" w:cs="Times New Roman"/>
        </w:rPr>
        <w:t xml:space="preserve"> </w:t>
      </w:r>
      <w:r w:rsidR="0021140F">
        <w:rPr>
          <w:rFonts w:ascii="Helvetica" w:eastAsia="Times New Roman" w:hAnsi="Helvetica" w:cs="Times New Roman"/>
        </w:rPr>
        <w:t xml:space="preserve">53(2), Article 9. Retrieved from: </w:t>
      </w:r>
      <w:hyperlink r:id="rId11" w:history="1">
        <w:r w:rsidR="0021140F" w:rsidRPr="004561E5">
          <w:rPr>
            <w:rStyle w:val="Hyperlink"/>
            <w:rFonts w:ascii="Helvetica" w:eastAsia="Times New Roman" w:hAnsi="Helvetica" w:cs="Times New Roman"/>
          </w:rPr>
          <w:t>https://tigerprints.clemson.edu/joe/vol53/iss2/9/</w:t>
        </w:r>
      </w:hyperlink>
    </w:p>
    <w:p w14:paraId="0000004F" w14:textId="60C20534" w:rsidR="009E303A" w:rsidRPr="002B36CC" w:rsidRDefault="002A5132" w:rsidP="00F670FB">
      <w:pPr>
        <w:spacing w:before="120" w:after="0" w:line="240" w:lineRule="auto"/>
        <w:ind w:left="720" w:hanging="720"/>
        <w:rPr>
          <w:rFonts w:ascii="Helvetica" w:eastAsia="Times New Roman" w:hAnsi="Helvetica" w:cs="Times New Roman"/>
        </w:rPr>
      </w:pPr>
      <w:r w:rsidRPr="008F1109">
        <w:rPr>
          <w:rFonts w:ascii="Helvetica" w:eastAsia="Times New Roman" w:hAnsi="Helvetica" w:cs="Times New Roman"/>
          <w:b/>
          <w:bCs/>
        </w:rPr>
        <w:t>J.D.</w:t>
      </w:r>
      <w:r w:rsidR="002A2D89" w:rsidRPr="008F1109">
        <w:rPr>
          <w:rFonts w:ascii="Helvetica" w:eastAsia="Times New Roman" w:hAnsi="Helvetica" w:cs="Times New Roman"/>
          <w:b/>
          <w:bCs/>
        </w:rPr>
        <w:t xml:space="preserve"> </w:t>
      </w:r>
      <w:r w:rsidRPr="008F1109">
        <w:rPr>
          <w:rFonts w:ascii="Helvetica" w:eastAsia="Times New Roman" w:hAnsi="Helvetica" w:cs="Times New Roman"/>
          <w:b/>
          <w:bCs/>
        </w:rPr>
        <w:t>Power (2017).</w:t>
      </w:r>
      <w:r w:rsidR="002A2D89" w:rsidRPr="002B36CC">
        <w:rPr>
          <w:rFonts w:ascii="Helvetica" w:eastAsia="Times New Roman" w:hAnsi="Helvetica" w:cs="Times New Roman"/>
        </w:rPr>
        <w:t xml:space="preserve"> </w:t>
      </w:r>
      <w:r w:rsidRPr="002B36CC">
        <w:rPr>
          <w:rFonts w:ascii="Helvetica" w:eastAsia="Times New Roman" w:hAnsi="Helvetica" w:cs="Times New Roman"/>
          <w:i/>
        </w:rPr>
        <w:t>Projected Growth in Medicare Advantage Market Creates Untapped Opportunities for Insurers, J.D.</w:t>
      </w:r>
      <w:r w:rsidR="002A2D89" w:rsidRPr="002B36CC">
        <w:rPr>
          <w:rFonts w:ascii="Helvetica" w:eastAsia="Times New Roman" w:hAnsi="Helvetica" w:cs="Times New Roman"/>
          <w:i/>
        </w:rPr>
        <w:t xml:space="preserve"> </w:t>
      </w:r>
      <w:r w:rsidRPr="002B36CC">
        <w:rPr>
          <w:rFonts w:ascii="Helvetica" w:eastAsia="Times New Roman" w:hAnsi="Helvetica" w:cs="Times New Roman"/>
          <w:i/>
        </w:rPr>
        <w:t>Power Finds.</w:t>
      </w:r>
      <w:r w:rsidR="002A2D89" w:rsidRPr="002B36CC">
        <w:rPr>
          <w:rFonts w:ascii="Helvetica" w:eastAsia="Times New Roman" w:hAnsi="Helvetica" w:cs="Times New Roman"/>
          <w:i/>
        </w:rPr>
        <w:t xml:space="preserve"> </w:t>
      </w:r>
      <w:r w:rsidRPr="002B36CC">
        <w:rPr>
          <w:rFonts w:ascii="Helvetica" w:eastAsia="Times New Roman" w:hAnsi="Helvetica" w:cs="Times New Roman"/>
        </w:rPr>
        <w:t xml:space="preserve">Retrieved from: </w:t>
      </w:r>
      <w:hyperlink r:id="rId12">
        <w:r w:rsidRPr="002B36CC">
          <w:rPr>
            <w:rFonts w:ascii="Helvetica" w:eastAsia="Times New Roman" w:hAnsi="Helvetica" w:cs="Times New Roman"/>
            <w:color w:val="0000FF"/>
            <w:u w:val="single"/>
          </w:rPr>
          <w:t>https://www.jdpower.com/business/press-releases/jd-power-2017-medicare-advantage-study</w:t>
        </w:r>
      </w:hyperlink>
    </w:p>
    <w:p w14:paraId="00000050" w14:textId="1DD409A7" w:rsidR="009E303A" w:rsidRPr="002B36CC" w:rsidRDefault="002A5132" w:rsidP="00F670FB">
      <w:pPr>
        <w:spacing w:before="120" w:after="0" w:line="240" w:lineRule="auto"/>
        <w:ind w:left="720" w:hanging="720"/>
        <w:rPr>
          <w:rFonts w:ascii="Helvetica" w:eastAsia="Times New Roman" w:hAnsi="Helvetica" w:cs="Times New Roman"/>
        </w:rPr>
      </w:pPr>
      <w:r w:rsidRPr="008F1109">
        <w:rPr>
          <w:rFonts w:ascii="Helvetica" w:eastAsia="Times New Roman" w:hAnsi="Helvetica" w:cs="Times New Roman"/>
          <w:b/>
          <w:bCs/>
        </w:rPr>
        <w:t>Kaiser Family Foundation (2008).</w:t>
      </w:r>
      <w:r w:rsidR="002A2D89" w:rsidRPr="002B36CC">
        <w:rPr>
          <w:rFonts w:ascii="Helvetica" w:eastAsia="Times New Roman" w:hAnsi="Helvetica" w:cs="Times New Roman"/>
        </w:rPr>
        <w:t xml:space="preserve"> </w:t>
      </w:r>
      <w:r w:rsidRPr="002B36CC">
        <w:rPr>
          <w:rFonts w:ascii="Helvetica" w:eastAsia="Times New Roman" w:hAnsi="Helvetica" w:cs="Times New Roman"/>
          <w:i/>
        </w:rPr>
        <w:t>Pitching Private Medicare Plans - An Analysis of Medicare Advantage and Prescription Drug Plan Advertising</w:t>
      </w:r>
      <w:r w:rsidRPr="002B36CC">
        <w:rPr>
          <w:rFonts w:ascii="Helvetica" w:eastAsia="Times New Roman" w:hAnsi="Helvetica" w:cs="Times New Roman"/>
        </w:rPr>
        <w:t>.</w:t>
      </w:r>
      <w:r w:rsidR="002A2D89" w:rsidRPr="002B36CC">
        <w:rPr>
          <w:rFonts w:ascii="Helvetica" w:eastAsia="Times New Roman" w:hAnsi="Helvetica" w:cs="Times New Roman"/>
        </w:rPr>
        <w:t xml:space="preserve"> </w:t>
      </w:r>
      <w:r w:rsidRPr="002B36CC">
        <w:rPr>
          <w:rFonts w:ascii="Helvetica" w:eastAsia="Times New Roman" w:hAnsi="Helvetica" w:cs="Times New Roman"/>
        </w:rPr>
        <w:t>Retrieved from https://www.kff.org/wp-content/uploads/2013/01/7805.pdf</w:t>
      </w:r>
    </w:p>
    <w:p w14:paraId="00000051" w14:textId="6A6008AF" w:rsidR="009E303A" w:rsidRPr="002B36CC" w:rsidRDefault="002A5132" w:rsidP="00F670FB">
      <w:pPr>
        <w:spacing w:before="120" w:after="0" w:line="240" w:lineRule="auto"/>
        <w:ind w:left="720" w:hanging="720"/>
        <w:rPr>
          <w:rFonts w:ascii="Helvetica" w:eastAsia="Times New Roman" w:hAnsi="Helvetica" w:cs="Times New Roman"/>
        </w:rPr>
      </w:pPr>
      <w:r w:rsidRPr="008F1109">
        <w:rPr>
          <w:rFonts w:ascii="Helvetica" w:eastAsia="Times New Roman" w:hAnsi="Helvetica" w:cs="Times New Roman"/>
          <w:b/>
          <w:bCs/>
        </w:rPr>
        <w:t>Kaiser Family Foundation (2019).</w:t>
      </w:r>
      <w:r w:rsidR="002A2D89" w:rsidRPr="002B36CC">
        <w:rPr>
          <w:rFonts w:ascii="Helvetica" w:eastAsia="Times New Roman" w:hAnsi="Helvetica" w:cs="Times New Roman"/>
        </w:rPr>
        <w:t xml:space="preserve"> </w:t>
      </w:r>
      <w:r w:rsidRPr="002B36CC">
        <w:rPr>
          <w:rFonts w:ascii="Helvetica" w:eastAsia="Times New Roman" w:hAnsi="Helvetica" w:cs="Times New Roman"/>
          <w:i/>
        </w:rPr>
        <w:t>Medicare Advantage Factsheet.</w:t>
      </w:r>
      <w:r w:rsidR="002A2D89" w:rsidRPr="002B36CC">
        <w:rPr>
          <w:rFonts w:ascii="Helvetica" w:eastAsia="Times New Roman" w:hAnsi="Helvetica" w:cs="Times New Roman"/>
          <w:i/>
        </w:rPr>
        <w:t xml:space="preserve"> </w:t>
      </w:r>
      <w:r w:rsidRPr="002B36CC">
        <w:rPr>
          <w:rFonts w:ascii="Helvetica" w:eastAsia="Times New Roman" w:hAnsi="Helvetica" w:cs="Times New Roman"/>
        </w:rPr>
        <w:t xml:space="preserve">Retrieved from </w:t>
      </w:r>
      <w:hyperlink r:id="rId13">
        <w:r w:rsidRPr="002B36CC">
          <w:rPr>
            <w:rFonts w:ascii="Helvetica" w:eastAsia="Times New Roman" w:hAnsi="Helvetica" w:cs="Times New Roman"/>
            <w:color w:val="0000FF"/>
            <w:u w:val="single"/>
          </w:rPr>
          <w:t>http://files.kff.org/attachment/Fact-Sheet-Medicare-Advantage</w:t>
        </w:r>
      </w:hyperlink>
    </w:p>
    <w:p w14:paraId="05D5F116" w14:textId="44454782" w:rsidR="000B4C27" w:rsidRPr="002B36CC" w:rsidRDefault="002A5132" w:rsidP="00F670FB">
      <w:pPr>
        <w:spacing w:before="120" w:after="0" w:line="240" w:lineRule="auto"/>
        <w:ind w:left="720" w:hanging="720"/>
        <w:rPr>
          <w:rFonts w:ascii="Helvetica" w:eastAsia="Times New Roman" w:hAnsi="Helvetica" w:cs="Times New Roman"/>
          <w:color w:val="1155CC"/>
          <w:u w:val="single"/>
        </w:rPr>
      </w:pPr>
      <w:r w:rsidRPr="008F1109">
        <w:rPr>
          <w:rFonts w:ascii="Helvetica" w:eastAsia="Times New Roman" w:hAnsi="Helvetica" w:cs="Times New Roman"/>
          <w:b/>
          <w:bCs/>
        </w:rPr>
        <w:t>Taber, K.S.</w:t>
      </w:r>
      <w:r w:rsidR="002A2D89" w:rsidRPr="008F1109">
        <w:rPr>
          <w:rFonts w:ascii="Helvetica" w:eastAsia="Times New Roman" w:hAnsi="Helvetica" w:cs="Times New Roman"/>
          <w:b/>
          <w:bCs/>
        </w:rPr>
        <w:t xml:space="preserve"> </w:t>
      </w:r>
      <w:r w:rsidRPr="008F1109">
        <w:rPr>
          <w:rFonts w:ascii="Helvetica" w:eastAsia="Times New Roman" w:hAnsi="Helvetica" w:cs="Times New Roman"/>
          <w:b/>
          <w:bCs/>
        </w:rPr>
        <w:t>(2018).</w:t>
      </w:r>
      <w:r w:rsidR="002A2D89" w:rsidRPr="002B36CC">
        <w:rPr>
          <w:rFonts w:ascii="Helvetica" w:eastAsia="Times New Roman" w:hAnsi="Helvetica" w:cs="Times New Roman"/>
        </w:rPr>
        <w:t xml:space="preserve"> </w:t>
      </w:r>
      <w:r w:rsidRPr="002B36CC">
        <w:rPr>
          <w:rFonts w:ascii="Helvetica" w:eastAsia="Times New Roman" w:hAnsi="Helvetica" w:cs="Times New Roman"/>
          <w:i/>
        </w:rPr>
        <w:t>The Use of Cronbach’s Alpha When Developing and Reporting Research Instruments in Science Education</w:t>
      </w:r>
      <w:r w:rsidRPr="002B36CC">
        <w:rPr>
          <w:rFonts w:ascii="Helvetica" w:eastAsia="Times New Roman" w:hAnsi="Helvetica" w:cs="Times New Roman"/>
        </w:rPr>
        <w:t>.</w:t>
      </w:r>
      <w:r w:rsidR="002A2D89" w:rsidRPr="002B36CC">
        <w:rPr>
          <w:rFonts w:ascii="Helvetica" w:eastAsia="Times New Roman" w:hAnsi="Helvetica" w:cs="Times New Roman"/>
        </w:rPr>
        <w:t xml:space="preserve"> </w:t>
      </w:r>
      <w:r w:rsidRPr="002B36CC">
        <w:rPr>
          <w:rFonts w:ascii="Helvetica" w:eastAsia="Times New Roman" w:hAnsi="Helvetica" w:cs="Times New Roman"/>
        </w:rPr>
        <w:t>Res Sci Educ 48, 1273-1296.</w:t>
      </w:r>
      <w:r w:rsidR="002A2D89" w:rsidRPr="002B36CC">
        <w:rPr>
          <w:rFonts w:ascii="Helvetica" w:eastAsia="Times New Roman" w:hAnsi="Helvetica" w:cs="Times New Roman"/>
        </w:rPr>
        <w:t xml:space="preserve"> </w:t>
      </w:r>
      <w:r w:rsidRPr="002B36CC">
        <w:rPr>
          <w:rFonts w:ascii="Helvetica" w:eastAsia="Times New Roman" w:hAnsi="Helvetica" w:cs="Times New Roman"/>
        </w:rPr>
        <w:t xml:space="preserve">Retrieved from </w:t>
      </w:r>
      <w:hyperlink r:id="rId14">
        <w:r w:rsidRPr="002B36CC">
          <w:rPr>
            <w:rFonts w:ascii="Helvetica" w:eastAsia="Times New Roman" w:hAnsi="Helvetica" w:cs="Times New Roman"/>
            <w:color w:val="1155CC"/>
            <w:u w:val="single"/>
          </w:rPr>
          <w:t>https://link.springer.com/article/10.1007/s11165-016-9602-2</w:t>
        </w:r>
      </w:hyperlink>
    </w:p>
    <w:p w14:paraId="68D29BDA" w14:textId="6193B466" w:rsidR="000B4C27" w:rsidRPr="002B36CC" w:rsidRDefault="000B4C27" w:rsidP="00F670FB">
      <w:pPr>
        <w:spacing w:before="120" w:after="0" w:line="240" w:lineRule="auto"/>
        <w:ind w:left="720" w:hanging="720"/>
        <w:rPr>
          <w:rFonts w:ascii="Helvetica" w:eastAsia="Times New Roman" w:hAnsi="Helvetica" w:cs="Times New Roman"/>
        </w:rPr>
      </w:pPr>
      <w:r w:rsidRPr="008F1109">
        <w:rPr>
          <w:rFonts w:ascii="Helvetica" w:eastAsia="Times New Roman" w:hAnsi="Helvetica" w:cs="Times New Roman"/>
          <w:b/>
          <w:bCs/>
        </w:rPr>
        <w:t>United States Department of Agriculture (2017).</w:t>
      </w:r>
      <w:r w:rsidRPr="002B36CC">
        <w:rPr>
          <w:rFonts w:ascii="Helvetica" w:eastAsia="Times New Roman" w:hAnsi="Helvetica" w:cs="Times New Roman"/>
        </w:rPr>
        <w:t xml:space="preserve"> </w:t>
      </w:r>
      <w:r w:rsidRPr="002B36CC">
        <w:rPr>
          <w:rFonts w:ascii="Helvetica" w:eastAsia="Times New Roman" w:hAnsi="Helvetica" w:cs="Times New Roman"/>
          <w:i/>
        </w:rPr>
        <w:t>2017 Census of Agriculture Highlights</w:t>
      </w:r>
      <w:r w:rsidRPr="002B36CC">
        <w:rPr>
          <w:rFonts w:ascii="Helvetica" w:eastAsia="Times New Roman" w:hAnsi="Helvetica" w:cs="Times New Roman"/>
        </w:rPr>
        <w:t xml:space="preserve">. Retrieved from </w:t>
      </w:r>
      <w:hyperlink r:id="rId15" w:history="1">
        <w:r w:rsidRPr="002B36CC">
          <w:rPr>
            <w:rStyle w:val="Hyperlink"/>
            <w:rFonts w:ascii="Helvetica" w:eastAsia="Times New Roman" w:hAnsi="Helvetica" w:cs="Times New Roman"/>
          </w:rPr>
          <w:t>https://www.nass.usda.gov/Publications/Highlights/2019/2017Census_Farm_Producers.pdf</w:t>
        </w:r>
      </w:hyperlink>
      <w:r w:rsidRPr="002B36CC">
        <w:rPr>
          <w:rFonts w:ascii="Helvetica" w:eastAsia="Times New Roman" w:hAnsi="Helvetica" w:cs="Times New Roman"/>
        </w:rPr>
        <w:t>.</w:t>
      </w:r>
    </w:p>
    <w:p w14:paraId="66884731" w14:textId="77777777" w:rsidR="000B4C27" w:rsidRPr="002B36CC" w:rsidRDefault="000B4C27" w:rsidP="000B4C27">
      <w:pPr>
        <w:spacing w:line="480" w:lineRule="auto"/>
        <w:ind w:left="720" w:hanging="720"/>
        <w:rPr>
          <w:rFonts w:ascii="Helvetica" w:eastAsia="Times New Roman" w:hAnsi="Helvetica" w:cs="Times New Roman"/>
        </w:rPr>
      </w:pPr>
    </w:p>
    <w:p w14:paraId="00000053" w14:textId="77777777" w:rsidR="009E303A" w:rsidRPr="002B36CC" w:rsidRDefault="009E303A">
      <w:pPr>
        <w:rPr>
          <w:rFonts w:ascii="Helvetica" w:eastAsia="Times New Roman" w:hAnsi="Helvetica" w:cs="Times New Roman"/>
        </w:rPr>
      </w:pPr>
    </w:p>
    <w:sectPr w:rsidR="009E303A" w:rsidRPr="002B36CC" w:rsidSect="002C5ECB">
      <w:headerReference w:type="default" r:id="rId16"/>
      <w:headerReference w:type="first" r:id="rId17"/>
      <w:pgSz w:w="12240" w:h="15840"/>
      <w:pgMar w:top="1440" w:right="1440" w:bottom="1440" w:left="1440" w:header="144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2AFC3" w14:textId="77777777" w:rsidR="00C40668" w:rsidRDefault="00C40668">
      <w:pPr>
        <w:spacing w:after="0" w:line="240" w:lineRule="auto"/>
      </w:pPr>
      <w:r>
        <w:separator/>
      </w:r>
    </w:p>
  </w:endnote>
  <w:endnote w:type="continuationSeparator" w:id="0">
    <w:p w14:paraId="0BF7D3D1" w14:textId="77777777" w:rsidR="00C40668" w:rsidRDefault="00C4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00000007" w:usb1="00000000" w:usb2="00000000" w:usb3="00000000" w:csb0="00000093" w:csb1="00000000"/>
  </w:font>
  <w:font w:name="DM Sans">
    <w:panose1 w:val="00000000000000000000"/>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1FED7" w14:textId="77777777" w:rsidR="00C40668" w:rsidRDefault="00C40668">
      <w:pPr>
        <w:spacing w:after="0" w:line="240" w:lineRule="auto"/>
      </w:pPr>
      <w:r>
        <w:separator/>
      </w:r>
    </w:p>
  </w:footnote>
  <w:footnote w:type="continuationSeparator" w:id="0">
    <w:p w14:paraId="5181B1CF" w14:textId="77777777" w:rsidR="00C40668" w:rsidRDefault="00C40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651B4BEF" w:rsidR="009E303A" w:rsidRDefault="002A513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2D89">
      <w:rPr>
        <w:rFonts w:ascii="Times New Roman" w:eastAsia="Times New Roman" w:hAnsi="Times New Roman" w:cs="Times New Roman"/>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7C76DE5C" w:rsidR="009E303A" w:rsidRDefault="002A5132">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sz w:val="24"/>
        <w:szCs w:val="24"/>
      </w:rPr>
    </w:pPr>
    <w:r w:rsidRPr="002B36CC">
      <w:rPr>
        <w:rFonts w:ascii="Helvetica" w:eastAsia="Times New Roman" w:hAnsi="Helvetica" w:cs="Times New Roman"/>
        <w:sz w:val="24"/>
        <w:szCs w:val="24"/>
      </w:rPr>
      <w:t>Running Head: HEALTH INSURANCE OPTIONS IN SENIOR YEARS</w:t>
    </w:r>
    <w:r w:rsidR="002A2D89">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A2D89">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03A"/>
    <w:rsid w:val="00030692"/>
    <w:rsid w:val="000441E4"/>
    <w:rsid w:val="00053E2A"/>
    <w:rsid w:val="000575C9"/>
    <w:rsid w:val="00087075"/>
    <w:rsid w:val="000B4C27"/>
    <w:rsid w:val="00151209"/>
    <w:rsid w:val="00163195"/>
    <w:rsid w:val="00183CBF"/>
    <w:rsid w:val="001A72B4"/>
    <w:rsid w:val="001C5E53"/>
    <w:rsid w:val="001E4FEC"/>
    <w:rsid w:val="00200026"/>
    <w:rsid w:val="0021140F"/>
    <w:rsid w:val="002707CF"/>
    <w:rsid w:val="0028608B"/>
    <w:rsid w:val="002A2D89"/>
    <w:rsid w:val="002A5132"/>
    <w:rsid w:val="002B36CC"/>
    <w:rsid w:val="002B5FEC"/>
    <w:rsid w:val="002C5ECB"/>
    <w:rsid w:val="002D3F7A"/>
    <w:rsid w:val="0031563B"/>
    <w:rsid w:val="00322A2F"/>
    <w:rsid w:val="003A5649"/>
    <w:rsid w:val="003B2272"/>
    <w:rsid w:val="004B54D1"/>
    <w:rsid w:val="005905BE"/>
    <w:rsid w:val="005F37D2"/>
    <w:rsid w:val="00610286"/>
    <w:rsid w:val="00617AF2"/>
    <w:rsid w:val="00652D12"/>
    <w:rsid w:val="00663AF1"/>
    <w:rsid w:val="00666EF7"/>
    <w:rsid w:val="00676190"/>
    <w:rsid w:val="006926A5"/>
    <w:rsid w:val="00693FD9"/>
    <w:rsid w:val="007048F4"/>
    <w:rsid w:val="00725A4F"/>
    <w:rsid w:val="00741362"/>
    <w:rsid w:val="00757A66"/>
    <w:rsid w:val="007D3371"/>
    <w:rsid w:val="007E05B2"/>
    <w:rsid w:val="00803429"/>
    <w:rsid w:val="00815CEA"/>
    <w:rsid w:val="00840578"/>
    <w:rsid w:val="008D60E2"/>
    <w:rsid w:val="008D782E"/>
    <w:rsid w:val="008F1109"/>
    <w:rsid w:val="0096131B"/>
    <w:rsid w:val="00965C03"/>
    <w:rsid w:val="00966851"/>
    <w:rsid w:val="009D2285"/>
    <w:rsid w:val="009E303A"/>
    <w:rsid w:val="009F0E97"/>
    <w:rsid w:val="00A3017A"/>
    <w:rsid w:val="00A47805"/>
    <w:rsid w:val="00A81E28"/>
    <w:rsid w:val="00AD6747"/>
    <w:rsid w:val="00B12AA4"/>
    <w:rsid w:val="00B27E37"/>
    <w:rsid w:val="00B42995"/>
    <w:rsid w:val="00BF549D"/>
    <w:rsid w:val="00C06987"/>
    <w:rsid w:val="00C37E95"/>
    <w:rsid w:val="00C40668"/>
    <w:rsid w:val="00C643DC"/>
    <w:rsid w:val="00C85E20"/>
    <w:rsid w:val="00CC1DF5"/>
    <w:rsid w:val="00D12A31"/>
    <w:rsid w:val="00D16DC6"/>
    <w:rsid w:val="00D244BF"/>
    <w:rsid w:val="00D5424D"/>
    <w:rsid w:val="00D61885"/>
    <w:rsid w:val="00D65215"/>
    <w:rsid w:val="00D95E8A"/>
    <w:rsid w:val="00DA35E1"/>
    <w:rsid w:val="00DD4B71"/>
    <w:rsid w:val="00F43C17"/>
    <w:rsid w:val="00F44131"/>
    <w:rsid w:val="00F533BE"/>
    <w:rsid w:val="00F54E01"/>
    <w:rsid w:val="00F670FB"/>
    <w:rsid w:val="00FA60FD"/>
    <w:rsid w:val="00FC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6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31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9D0"/>
  </w:style>
  <w:style w:type="paragraph" w:styleId="Footer">
    <w:name w:val="footer"/>
    <w:basedOn w:val="Normal"/>
    <w:link w:val="FooterChar"/>
    <w:uiPriority w:val="99"/>
    <w:unhideWhenUsed/>
    <w:rsid w:val="00B31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9D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44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131"/>
    <w:rPr>
      <w:rFonts w:ascii="Segoe UI" w:hAnsi="Segoe UI" w:cs="Segoe UI"/>
      <w:sz w:val="18"/>
      <w:szCs w:val="18"/>
    </w:rPr>
  </w:style>
  <w:style w:type="character" w:styleId="Hyperlink">
    <w:name w:val="Hyperlink"/>
    <w:basedOn w:val="DefaultParagraphFont"/>
    <w:uiPriority w:val="99"/>
    <w:unhideWhenUsed/>
    <w:rsid w:val="000B4C27"/>
    <w:rPr>
      <w:color w:val="0563C1" w:themeColor="hyperlink"/>
      <w:u w:val="single"/>
    </w:rPr>
  </w:style>
  <w:style w:type="character" w:styleId="FollowedHyperlink">
    <w:name w:val="FollowedHyperlink"/>
    <w:basedOn w:val="DefaultParagraphFont"/>
    <w:uiPriority w:val="99"/>
    <w:semiHidden/>
    <w:unhideWhenUsed/>
    <w:rsid w:val="004B54D1"/>
    <w:rPr>
      <w:color w:val="954F72" w:themeColor="followedHyperlink"/>
      <w:u w:val="single"/>
    </w:rPr>
  </w:style>
  <w:style w:type="paragraph" w:customStyle="1" w:styleId="BasicParagraph">
    <w:name w:val="[Basic Paragraph]"/>
    <w:basedOn w:val="Normal"/>
    <w:uiPriority w:val="99"/>
    <w:rsid w:val="0028608B"/>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character" w:customStyle="1" w:styleId="font-italic">
    <w:name w:val="font-italic"/>
    <w:basedOn w:val="DefaultParagraphFont"/>
    <w:rsid w:val="0028608B"/>
  </w:style>
  <w:style w:type="character" w:styleId="Emphasis">
    <w:name w:val="Emphasis"/>
    <w:basedOn w:val="DefaultParagraphFont"/>
    <w:uiPriority w:val="20"/>
    <w:qFormat/>
    <w:rsid w:val="002860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ip.org/wp-content/uploads/2013/11/HealthLiteracyBook2013_Third_Edition.pdf" TargetMode="External"/><Relationship Id="rId13" Type="http://schemas.openxmlformats.org/officeDocument/2006/relationships/hyperlink" Target="http://files.kff.org/attachment/Fact-Sheet-Medicare-Advantag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jdpower.com/business/press-releases/jd-power-2017-medicare-advantage-study"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igerprints.clemson.edu/joe/vol53/iss2/9/" TargetMode="External"/><Relationship Id="rId5" Type="http://schemas.openxmlformats.org/officeDocument/2006/relationships/footnotes" Target="footnotes.xml"/><Relationship Id="rId15" Type="http://schemas.openxmlformats.org/officeDocument/2006/relationships/hyperlink" Target="https://www.nass.usda.gov/Publications/Highlights/2019/2017Census_Farm_Producers.pdf" TargetMode="External"/><Relationship Id="rId10" Type="http://schemas.openxmlformats.org/officeDocument/2006/relationships/hyperlink" Target="https://www.fidelity.com/about-fidelity/employer-services/a-couple-retiring-in-2018-would-need-estimated-2800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nsus.gov/library/stories/2019/12/by-2030-all-baby-boomers-will-be-age-65-or-older.html/" TargetMode="External"/><Relationship Id="rId14" Type="http://schemas.openxmlformats.org/officeDocument/2006/relationships/hyperlink" Target="https://link.springer.com/article/10.1007/s11165-016-96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viBRhFklFPsdw+zI+zQLeRVh5w==">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2518</Words>
  <Characters>13900</Characters>
  <Application>Microsoft Office Word</Application>
  <DocSecurity>0</DocSecurity>
  <Lines>165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2022-06-28T00:54:00Z</dcterms:created>
  <dcterms:modified xsi:type="dcterms:W3CDTF">2022-06-28T00:54:00Z</dcterms:modified>
</cp:coreProperties>
</file>